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hAnsi="仿宋" w:eastAsia="仿宋_GB2312"/>
          <w:b/>
          <w:sz w:val="32"/>
          <w:szCs w:val="30"/>
        </w:rPr>
      </w:pPr>
      <w:r>
        <w:rPr>
          <w:rFonts w:ascii="仿宋_GB2312" w:hAnsi="仿宋" w:eastAsia="仿宋_GB2312"/>
          <w:b/>
          <w:sz w:val="32"/>
          <w:szCs w:val="3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仿宋_GB2312" w:hAnsi="仿宋" w:eastAsia="仿宋_GB2312"/>
          <w:b/>
          <w:sz w:val="32"/>
          <w:szCs w:val="30"/>
        </w:rPr>
        <w:instrText xml:space="preserve">ADDIN CNKISM.UserStyle</w:instrText>
      </w:r>
      <w:r>
        <w:rPr>
          <w:rFonts w:ascii="仿宋_GB2312" w:hAnsi="仿宋" w:eastAsia="仿宋_GB2312"/>
          <w:b/>
          <w:sz w:val="32"/>
          <w:szCs w:val="30"/>
        </w:rPr>
        <w:fldChar w:fldCharType="end"/>
      </w:r>
      <w:r>
        <w:rPr>
          <w:rFonts w:hint="eastAsia" w:ascii="仿宋_GB2312" w:hAnsi="仿宋" w:eastAsia="仿宋_GB2312"/>
          <w:b/>
          <w:sz w:val="32"/>
          <w:szCs w:val="30"/>
        </w:rPr>
        <w:t>中央财经大学金融学院“</w:t>
      </w:r>
      <w:r>
        <w:rPr>
          <w:rFonts w:hint="eastAsia" w:ascii="仿宋_GB2312" w:hAnsi="仿宋" w:eastAsia="仿宋_GB2312"/>
          <w:b/>
          <w:sz w:val="32"/>
          <w:szCs w:val="30"/>
          <w:lang w:eastAsia="zh-CN"/>
        </w:rPr>
        <w:t>中国人保奖学金</w:t>
      </w:r>
      <w:r>
        <w:rPr>
          <w:rFonts w:hint="eastAsia" w:ascii="仿宋_GB2312" w:hAnsi="仿宋" w:eastAsia="仿宋_GB2312"/>
          <w:b/>
          <w:sz w:val="32"/>
          <w:szCs w:val="30"/>
        </w:rPr>
        <w:t>”评奖办法</w:t>
      </w:r>
    </w:p>
    <w:p>
      <w:pPr>
        <w:spacing w:line="360" w:lineRule="auto"/>
        <w:jc w:val="center"/>
        <w:rPr>
          <w:rFonts w:ascii="仿宋_GB2312" w:hAnsi="仿宋" w:eastAsia="仿宋_GB2312"/>
          <w:b/>
          <w:sz w:val="32"/>
          <w:szCs w:val="30"/>
        </w:rPr>
      </w:pPr>
      <w:r>
        <w:rPr>
          <w:rFonts w:hint="eastAsia" w:ascii="仿宋_GB2312" w:hAnsi="仿宋" w:eastAsia="仿宋_GB2312"/>
          <w:b/>
          <w:sz w:val="32"/>
          <w:szCs w:val="30"/>
        </w:rPr>
        <w:t>（试行）</w:t>
      </w:r>
    </w:p>
    <w:p>
      <w:pPr>
        <w:spacing w:line="520" w:lineRule="exact"/>
        <w:jc w:val="center"/>
        <w:rPr>
          <w:rFonts w:ascii="仿宋_GB2312" w:hAnsi="仿宋" w:eastAsia="仿宋_GB2312"/>
          <w:b/>
          <w:sz w:val="30"/>
          <w:szCs w:val="30"/>
        </w:rPr>
      </w:pPr>
      <w:r>
        <w:rPr>
          <w:rFonts w:hint="eastAsia" w:ascii="仿宋_GB2312" w:hAnsi="仿宋" w:eastAsia="仿宋_GB2312"/>
          <w:b/>
          <w:sz w:val="30"/>
          <w:szCs w:val="30"/>
        </w:rPr>
        <w:t>第一章 总 则</w:t>
      </w:r>
    </w:p>
    <w:p>
      <w:pPr>
        <w:spacing w:line="520" w:lineRule="exact"/>
        <w:ind w:firstLine="602" w:firstLineChars="200"/>
        <w:rPr>
          <w:rFonts w:hint="eastAsia" w:ascii="仿宋_GB2312" w:hAnsi="仿宋" w:eastAsia="仿宋_GB2312"/>
          <w:sz w:val="32"/>
          <w:szCs w:val="32"/>
          <w:lang w:val="en-US" w:eastAsia="zh-CN"/>
        </w:rPr>
      </w:pPr>
      <w:r>
        <w:rPr>
          <w:rFonts w:hint="eastAsia" w:ascii="仿宋_GB2312" w:hAnsi="仿宋" w:eastAsia="仿宋_GB2312"/>
          <w:b/>
          <w:sz w:val="30"/>
          <w:szCs w:val="30"/>
        </w:rPr>
        <w:t xml:space="preserve">第一条 </w:t>
      </w:r>
      <w:r>
        <w:rPr>
          <w:rFonts w:hint="eastAsia" w:ascii="仿宋_GB2312" w:hAnsi="仿宋" w:eastAsia="仿宋_GB2312"/>
          <w:sz w:val="30"/>
          <w:szCs w:val="30"/>
        </w:rPr>
        <w:t>为促进金融教育事业，</w:t>
      </w:r>
      <w:r>
        <w:rPr>
          <w:rFonts w:hint="eastAsia" w:ascii="仿宋_GB2312" w:hAnsi="仿宋" w:eastAsia="仿宋_GB2312"/>
          <w:sz w:val="30"/>
          <w:szCs w:val="30"/>
          <w:lang w:eastAsia="zh-CN"/>
        </w:rPr>
        <w:t>加强中央财经大学与国内外知名企业的合作，奖励优秀人才，为社会培养更多更好的优秀人才，中国人民财产保险股份有限公司广东省分公司在中央财经大学教育基金会（以下简称“基金会”）捐赠设立“中国人保奖学金”（以下简称“人保奖学金”）。</w:t>
      </w:r>
    </w:p>
    <w:p>
      <w:pPr>
        <w:spacing w:line="520" w:lineRule="exact"/>
        <w:ind w:firstLine="602" w:firstLineChars="200"/>
        <w:rPr>
          <w:rFonts w:ascii="仿宋_GB2312" w:hAnsi="仿宋" w:eastAsia="仿宋_GB2312"/>
          <w:sz w:val="30"/>
          <w:szCs w:val="30"/>
        </w:rPr>
      </w:pPr>
      <w:r>
        <w:rPr>
          <w:rFonts w:hint="eastAsia" w:ascii="仿宋_GB2312" w:hAnsi="仿宋" w:eastAsia="仿宋_GB2312"/>
          <w:b/>
          <w:sz w:val="30"/>
          <w:szCs w:val="30"/>
        </w:rPr>
        <w:t xml:space="preserve">第二条 </w:t>
      </w:r>
      <w:r>
        <w:rPr>
          <w:rFonts w:hint="eastAsia" w:ascii="仿宋_GB2312" w:hAnsi="仿宋" w:eastAsia="仿宋_GB2312"/>
          <w:sz w:val="30"/>
          <w:szCs w:val="30"/>
        </w:rPr>
        <w:t>“</w:t>
      </w:r>
      <w:r>
        <w:rPr>
          <w:rFonts w:hint="eastAsia" w:ascii="仿宋_GB2312" w:hAnsi="仿宋" w:eastAsia="仿宋_GB2312"/>
          <w:sz w:val="30"/>
          <w:szCs w:val="30"/>
          <w:lang w:eastAsia="zh-CN"/>
        </w:rPr>
        <w:t>人保奖学金</w:t>
      </w:r>
      <w:r>
        <w:rPr>
          <w:rFonts w:hint="eastAsia" w:ascii="仿宋_GB2312" w:hAnsi="仿宋" w:eastAsia="仿宋_GB2312"/>
          <w:sz w:val="30"/>
          <w:szCs w:val="30"/>
        </w:rPr>
        <w:t>”每年评选一次，中央财经大学金融学院</w:t>
      </w:r>
      <w:r>
        <w:rPr>
          <w:rFonts w:hint="eastAsia" w:ascii="仿宋_GB2312" w:hAnsi="仿宋" w:eastAsia="仿宋_GB2312"/>
          <w:sz w:val="30"/>
          <w:szCs w:val="30"/>
          <w:lang w:eastAsia="zh-CN"/>
        </w:rPr>
        <w:t>金融硕士入学新生</w:t>
      </w:r>
      <w:r>
        <w:rPr>
          <w:rFonts w:hint="eastAsia" w:ascii="仿宋_GB2312" w:hAnsi="仿宋" w:eastAsia="仿宋_GB2312"/>
          <w:sz w:val="30"/>
          <w:szCs w:val="30"/>
        </w:rPr>
        <w:t>均有权利申请。</w:t>
      </w:r>
      <w:bookmarkStart w:id="0" w:name="_Toc278740734"/>
      <w:bookmarkStart w:id="1" w:name="_Toc278887261"/>
      <w:bookmarkStart w:id="2" w:name="_Toc278888457"/>
      <w:bookmarkStart w:id="3" w:name="_Toc278906552"/>
      <w:bookmarkStart w:id="4" w:name="_Toc278830624"/>
      <w:r>
        <w:rPr>
          <w:rFonts w:hint="eastAsia" w:ascii="仿宋_GB2312" w:hAnsi="仿宋" w:eastAsia="仿宋_GB2312"/>
          <w:sz w:val="30"/>
          <w:szCs w:val="30"/>
        </w:rPr>
        <w:t>奖学金注重科研精神的培养，与各类奖学金申请渠道相互隔离，但</w:t>
      </w:r>
      <w:r>
        <w:rPr>
          <w:rFonts w:hint="eastAsia" w:ascii="仿宋_GB2312" w:hAnsi="仿宋" w:eastAsia="仿宋_GB2312"/>
          <w:kern w:val="0"/>
          <w:sz w:val="30"/>
          <w:szCs w:val="30"/>
        </w:rPr>
        <w:t>同一支撑材料不可重复使用</w:t>
      </w:r>
      <w:r>
        <w:rPr>
          <w:rFonts w:hint="eastAsia" w:ascii="仿宋_GB2312" w:hAnsi="仿宋" w:eastAsia="仿宋_GB2312"/>
          <w:sz w:val="30"/>
          <w:szCs w:val="30"/>
        </w:rPr>
        <w:t>。</w:t>
      </w:r>
    </w:p>
    <w:p>
      <w:pPr>
        <w:spacing w:line="520" w:lineRule="exact"/>
        <w:ind w:firstLine="600" w:firstLineChars="200"/>
        <w:rPr>
          <w:rFonts w:ascii="仿宋_GB2312" w:hAnsi="仿宋" w:eastAsia="仿宋_GB2312"/>
          <w:sz w:val="30"/>
          <w:szCs w:val="30"/>
        </w:rPr>
      </w:pPr>
    </w:p>
    <w:p>
      <w:pPr>
        <w:spacing w:line="520" w:lineRule="exact"/>
        <w:jc w:val="center"/>
        <w:rPr>
          <w:rFonts w:ascii="仿宋_GB2312" w:hAnsi="仿宋" w:eastAsia="仿宋_GB2312"/>
          <w:b/>
          <w:sz w:val="30"/>
          <w:szCs w:val="30"/>
        </w:rPr>
      </w:pPr>
      <w:r>
        <w:rPr>
          <w:rFonts w:hint="eastAsia" w:ascii="仿宋_GB2312" w:hAnsi="仿宋" w:eastAsia="仿宋_GB2312"/>
          <w:b/>
          <w:kern w:val="0"/>
          <w:sz w:val="30"/>
          <w:szCs w:val="30"/>
        </w:rPr>
        <w:t>第二章 评奖</w:t>
      </w:r>
      <w:bookmarkEnd w:id="0"/>
      <w:bookmarkEnd w:id="1"/>
      <w:bookmarkEnd w:id="2"/>
      <w:bookmarkEnd w:id="3"/>
      <w:bookmarkEnd w:id="4"/>
      <w:r>
        <w:rPr>
          <w:rFonts w:hint="eastAsia" w:ascii="仿宋_GB2312" w:hAnsi="仿宋" w:eastAsia="仿宋_GB2312"/>
          <w:b/>
          <w:kern w:val="0"/>
          <w:sz w:val="30"/>
          <w:szCs w:val="30"/>
        </w:rPr>
        <w:t>条件</w:t>
      </w:r>
    </w:p>
    <w:p>
      <w:pPr>
        <w:spacing w:line="520" w:lineRule="exact"/>
        <w:ind w:firstLine="602" w:firstLineChars="200"/>
        <w:rPr>
          <w:rFonts w:ascii="仿宋_GB2312" w:hAnsi="仿宋" w:eastAsia="仿宋_GB2312"/>
          <w:b/>
          <w:kern w:val="0"/>
          <w:sz w:val="30"/>
          <w:szCs w:val="30"/>
        </w:rPr>
      </w:pPr>
      <w:r>
        <w:rPr>
          <w:rFonts w:hint="eastAsia" w:ascii="仿宋_GB2312" w:hAnsi="仿宋" w:eastAsia="仿宋_GB2312"/>
          <w:b/>
          <w:kern w:val="0"/>
          <w:sz w:val="30"/>
          <w:szCs w:val="30"/>
        </w:rPr>
        <w:t>第三条参评对象和奖励标准</w:t>
      </w:r>
    </w:p>
    <w:p>
      <w:pPr>
        <w:spacing w:line="520" w:lineRule="exact"/>
        <w:ind w:firstLine="600" w:firstLineChars="200"/>
        <w:rPr>
          <w:rFonts w:ascii="仿宋_GB2312" w:hAnsi="仿宋" w:eastAsia="仿宋_GB2312"/>
          <w:kern w:val="0"/>
          <w:sz w:val="30"/>
          <w:szCs w:val="30"/>
        </w:rPr>
      </w:pPr>
      <w:r>
        <w:rPr>
          <w:rFonts w:hint="eastAsia" w:ascii="仿宋_GB2312" w:hAnsi="仿宋" w:eastAsia="仿宋_GB2312"/>
          <w:kern w:val="0"/>
          <w:sz w:val="30"/>
          <w:szCs w:val="30"/>
        </w:rPr>
        <w:t>（一）参评对象</w:t>
      </w:r>
    </w:p>
    <w:p>
      <w:pPr>
        <w:spacing w:line="520" w:lineRule="exact"/>
        <w:ind w:firstLine="480"/>
        <w:rPr>
          <w:rFonts w:ascii="仿宋_GB2312" w:hAnsi="仿宋" w:eastAsia="仿宋_GB2312"/>
          <w:sz w:val="30"/>
          <w:szCs w:val="30"/>
        </w:rPr>
      </w:pPr>
      <w:r>
        <w:rPr>
          <w:rFonts w:hint="eastAsia" w:ascii="仿宋_GB2312" w:hAnsi="仿宋" w:eastAsia="仿宋_GB2312"/>
          <w:kern w:val="0"/>
          <w:sz w:val="30"/>
          <w:szCs w:val="30"/>
        </w:rPr>
        <w:t>中央财经大学金融学院在校正式注册的全日制（全脱产）</w:t>
      </w:r>
      <w:r>
        <w:rPr>
          <w:rFonts w:hint="eastAsia" w:ascii="仿宋_GB2312" w:hAnsi="仿宋" w:eastAsia="仿宋_GB2312"/>
          <w:kern w:val="0"/>
          <w:sz w:val="30"/>
          <w:szCs w:val="30"/>
          <w:lang w:eastAsia="zh-CN"/>
        </w:rPr>
        <w:t>金融专业</w:t>
      </w:r>
      <w:r>
        <w:rPr>
          <w:rFonts w:hint="eastAsia" w:ascii="仿宋_GB2312" w:hAnsi="仿宋" w:eastAsia="仿宋_GB2312"/>
          <w:kern w:val="0"/>
          <w:sz w:val="30"/>
          <w:szCs w:val="30"/>
        </w:rPr>
        <w:t>硕士</w:t>
      </w:r>
      <w:r>
        <w:rPr>
          <w:rFonts w:hint="eastAsia" w:ascii="仿宋_GB2312" w:hAnsi="仿宋" w:eastAsia="仿宋_GB2312"/>
          <w:kern w:val="0"/>
          <w:sz w:val="30"/>
          <w:szCs w:val="30"/>
          <w:lang w:eastAsia="zh-CN"/>
        </w:rPr>
        <w:t>研究生新生</w:t>
      </w:r>
      <w:r>
        <w:rPr>
          <w:rFonts w:hint="eastAsia" w:ascii="仿宋_GB2312" w:hAnsi="仿宋" w:eastAsia="仿宋_GB2312"/>
          <w:kern w:val="0"/>
          <w:sz w:val="30"/>
          <w:szCs w:val="30"/>
        </w:rPr>
        <w:t>可申请</w:t>
      </w:r>
      <w:r>
        <w:rPr>
          <w:rFonts w:hint="eastAsia" w:ascii="仿宋_GB2312" w:hAnsi="仿宋" w:eastAsia="仿宋_GB2312"/>
          <w:kern w:val="0"/>
          <w:sz w:val="30"/>
          <w:szCs w:val="30"/>
          <w:lang w:eastAsia="zh-CN"/>
        </w:rPr>
        <w:t>人保奖学金</w:t>
      </w:r>
      <w:r>
        <w:rPr>
          <w:rFonts w:hint="eastAsia" w:ascii="仿宋_GB2312" w:hAnsi="仿宋" w:eastAsia="仿宋_GB2312"/>
          <w:kern w:val="0"/>
          <w:sz w:val="30"/>
          <w:szCs w:val="30"/>
        </w:rPr>
        <w:t>。</w:t>
      </w:r>
      <w:r>
        <w:rPr>
          <w:rFonts w:hint="eastAsia" w:ascii="仿宋_GB2312" w:hAnsi="仿宋" w:eastAsia="仿宋_GB2312"/>
          <w:sz w:val="30"/>
          <w:szCs w:val="30"/>
        </w:rPr>
        <w:t>非全日制在职研究生不列入评选范围。</w:t>
      </w:r>
    </w:p>
    <w:p>
      <w:pPr>
        <w:spacing w:line="520" w:lineRule="exact"/>
        <w:ind w:firstLine="600" w:firstLineChars="200"/>
        <w:rPr>
          <w:rFonts w:ascii="仿宋_GB2312" w:hAnsi="仿宋" w:eastAsia="仿宋_GB2312"/>
          <w:kern w:val="0"/>
          <w:sz w:val="30"/>
          <w:szCs w:val="30"/>
        </w:rPr>
      </w:pPr>
      <w:r>
        <w:rPr>
          <w:rFonts w:hint="eastAsia" w:ascii="仿宋_GB2312" w:hAnsi="仿宋" w:eastAsia="仿宋_GB2312"/>
          <w:kern w:val="0"/>
          <w:sz w:val="30"/>
          <w:szCs w:val="30"/>
        </w:rPr>
        <w:t>（二）奖励标准</w:t>
      </w:r>
    </w:p>
    <w:p>
      <w:pPr>
        <w:spacing w:line="520" w:lineRule="exact"/>
        <w:ind w:firstLine="600" w:firstLineChars="200"/>
        <w:rPr>
          <w:rFonts w:ascii="仿宋_GB2312" w:hAnsi="仿宋" w:eastAsia="仿宋_GB2312"/>
          <w:kern w:val="0"/>
          <w:sz w:val="30"/>
          <w:szCs w:val="30"/>
        </w:rPr>
      </w:pPr>
      <w:r>
        <w:rPr>
          <w:rFonts w:hint="eastAsia" w:ascii="仿宋_GB2312" w:hAnsi="仿宋" w:eastAsia="仿宋_GB2312"/>
          <w:kern w:val="0"/>
          <w:sz w:val="30"/>
          <w:szCs w:val="30"/>
        </w:rPr>
        <w:t>名额设定：每年将评选出5名金融专业硕士研究生</w:t>
      </w:r>
      <w:r>
        <w:rPr>
          <w:rFonts w:hint="eastAsia" w:ascii="仿宋_GB2312" w:hAnsi="仿宋" w:eastAsia="仿宋_GB2312"/>
          <w:kern w:val="0"/>
          <w:sz w:val="30"/>
          <w:szCs w:val="30"/>
          <w:lang w:eastAsia="zh-CN"/>
        </w:rPr>
        <w:t>新生。</w:t>
      </w:r>
    </w:p>
    <w:p>
      <w:pPr>
        <w:spacing w:line="520" w:lineRule="exact"/>
        <w:ind w:firstLine="600" w:firstLineChars="200"/>
        <w:rPr>
          <w:rFonts w:ascii="仿宋_GB2312" w:hAnsi="仿宋" w:eastAsia="仿宋_GB2312"/>
          <w:kern w:val="0"/>
          <w:sz w:val="30"/>
          <w:szCs w:val="30"/>
        </w:rPr>
      </w:pPr>
      <w:r>
        <w:rPr>
          <w:rFonts w:hint="eastAsia" w:ascii="仿宋_GB2312" w:hAnsi="仿宋" w:eastAsia="仿宋_GB2312" w:cs="宋体"/>
          <w:kern w:val="0"/>
          <w:sz w:val="30"/>
          <w:szCs w:val="30"/>
        </w:rPr>
        <w:t>奖励标准：学院为获奖学生颁发统一印制的荣誉证书</w:t>
      </w:r>
      <w:r>
        <w:rPr>
          <w:rFonts w:hint="eastAsia" w:ascii="仿宋_GB2312" w:hAnsi="仿宋" w:eastAsia="仿宋_GB2312" w:cs="宋体"/>
          <w:kern w:val="0"/>
          <w:sz w:val="30"/>
          <w:szCs w:val="30"/>
          <w:lang w:eastAsia="zh-CN"/>
        </w:rPr>
        <w:t>，按</w:t>
      </w:r>
      <w:r>
        <w:rPr>
          <w:rFonts w:hint="eastAsia" w:ascii="仿宋_GB2312" w:hAnsi="仿宋" w:eastAsia="仿宋_GB2312"/>
          <w:kern w:val="0"/>
          <w:sz w:val="30"/>
          <w:szCs w:val="30"/>
        </w:rPr>
        <w:t>每生</w:t>
      </w:r>
      <w:r>
        <w:rPr>
          <w:rFonts w:hint="eastAsia" w:ascii="仿宋_GB2312" w:hAnsi="仿宋" w:eastAsia="仿宋_GB2312"/>
          <w:kern w:val="0"/>
          <w:sz w:val="30"/>
          <w:szCs w:val="30"/>
          <w:lang w:val="en-US" w:eastAsia="zh-CN"/>
        </w:rPr>
        <w:t>1</w:t>
      </w:r>
      <w:r>
        <w:rPr>
          <w:rFonts w:hint="eastAsia" w:ascii="仿宋_GB2312" w:hAnsi="仿宋" w:eastAsia="仿宋_GB2312"/>
          <w:kern w:val="0"/>
          <w:sz w:val="30"/>
          <w:szCs w:val="30"/>
        </w:rPr>
        <w:t>万元的标准发放奖学金。</w:t>
      </w:r>
    </w:p>
    <w:p>
      <w:pPr>
        <w:spacing w:line="520" w:lineRule="exact"/>
        <w:ind w:firstLine="600" w:firstLineChars="200"/>
        <w:rPr>
          <w:rFonts w:ascii="仿宋_GB2312" w:hAnsi="仿宋" w:eastAsia="仿宋_GB2312"/>
          <w:kern w:val="0"/>
          <w:sz w:val="30"/>
          <w:szCs w:val="30"/>
        </w:rPr>
      </w:pPr>
      <w:r>
        <w:rPr>
          <w:rFonts w:hint="eastAsia" w:ascii="仿宋_GB2312" w:hAnsi="仿宋" w:eastAsia="仿宋_GB2312"/>
          <w:kern w:val="0"/>
          <w:sz w:val="30"/>
          <w:szCs w:val="30"/>
        </w:rPr>
        <w:t>（三）相关情况说明</w:t>
      </w:r>
    </w:p>
    <w:p>
      <w:pPr>
        <w:spacing w:line="520" w:lineRule="exact"/>
        <w:ind w:firstLine="480"/>
        <w:rPr>
          <w:rFonts w:ascii="仿宋_GB2312" w:hAnsi="仿宋" w:eastAsia="仿宋_GB2312"/>
          <w:kern w:val="0"/>
          <w:sz w:val="30"/>
          <w:szCs w:val="30"/>
        </w:rPr>
      </w:pPr>
      <w:r>
        <w:rPr>
          <w:rFonts w:hint="eastAsia" w:ascii="仿宋_GB2312" w:hAnsi="仿宋" w:eastAsia="仿宋_GB2312"/>
          <w:kern w:val="0"/>
          <w:sz w:val="30"/>
          <w:szCs w:val="30"/>
          <w:lang w:eastAsia="zh-CN"/>
        </w:rPr>
        <w:t>人保奖学金</w:t>
      </w:r>
      <w:r>
        <w:rPr>
          <w:rFonts w:hint="eastAsia" w:ascii="仿宋_GB2312" w:hAnsi="仿宋" w:eastAsia="仿宋_GB2312"/>
          <w:kern w:val="0"/>
          <w:sz w:val="30"/>
          <w:szCs w:val="30"/>
        </w:rPr>
        <w:t>注重科研精神的培养，鼓励获奖学生能发挥表率作用。为惠及更多学子，原则上不建议已经获得其它高额</w:t>
      </w:r>
      <w:r>
        <w:rPr>
          <w:rFonts w:ascii="仿宋_GB2312" w:hAnsi="仿宋" w:eastAsia="仿宋_GB2312"/>
          <w:kern w:val="0"/>
          <w:sz w:val="30"/>
          <w:szCs w:val="30"/>
        </w:rPr>
        <w:t>奖学金</w:t>
      </w:r>
      <w:r>
        <w:rPr>
          <w:rFonts w:hint="eastAsia" w:ascii="仿宋_GB2312" w:hAnsi="仿宋" w:eastAsia="仿宋_GB2312"/>
          <w:kern w:val="0"/>
          <w:sz w:val="30"/>
          <w:szCs w:val="30"/>
        </w:rPr>
        <w:t>的学生在同一学年内获颁</w:t>
      </w:r>
      <w:r>
        <w:rPr>
          <w:rFonts w:hint="eastAsia" w:ascii="仿宋_GB2312" w:hAnsi="仿宋" w:eastAsia="仿宋_GB2312"/>
          <w:kern w:val="0"/>
          <w:sz w:val="30"/>
          <w:szCs w:val="30"/>
          <w:lang w:eastAsia="zh-CN"/>
        </w:rPr>
        <w:t>人保奖学金</w:t>
      </w:r>
      <w:r>
        <w:rPr>
          <w:rFonts w:hint="eastAsia" w:ascii="仿宋_GB2312" w:hAnsi="仿宋" w:eastAsia="仿宋_GB2312"/>
          <w:kern w:val="0"/>
          <w:sz w:val="30"/>
          <w:szCs w:val="30"/>
        </w:rPr>
        <w:t>，</w:t>
      </w:r>
      <w:r>
        <w:rPr>
          <w:rFonts w:ascii="仿宋_GB2312" w:hAnsi="仿宋" w:eastAsia="仿宋_GB2312"/>
          <w:kern w:val="0"/>
          <w:sz w:val="30"/>
          <w:szCs w:val="30"/>
        </w:rPr>
        <w:t>此前获</w:t>
      </w:r>
      <w:r>
        <w:rPr>
          <w:rFonts w:hint="eastAsia" w:ascii="仿宋_GB2312" w:hAnsi="仿宋" w:eastAsia="仿宋_GB2312"/>
          <w:kern w:val="0"/>
          <w:sz w:val="30"/>
          <w:szCs w:val="30"/>
        </w:rPr>
        <w:t>得过其它</w:t>
      </w:r>
      <w:r>
        <w:rPr>
          <w:rFonts w:ascii="仿宋_GB2312" w:hAnsi="仿宋" w:eastAsia="仿宋_GB2312"/>
          <w:kern w:val="0"/>
          <w:sz w:val="30"/>
          <w:szCs w:val="30"/>
        </w:rPr>
        <w:t>奖学金的学生不在此限制范围内。</w:t>
      </w:r>
    </w:p>
    <w:p>
      <w:pPr>
        <w:numPr>
          <w:ilvl w:val="0"/>
          <w:numId w:val="1"/>
        </w:numPr>
        <w:spacing w:line="520" w:lineRule="exact"/>
        <w:ind w:firstLine="602" w:firstLineChars="200"/>
        <w:rPr>
          <w:rFonts w:hint="eastAsia" w:ascii="仿宋_GB2312" w:hAnsi="仿宋" w:eastAsia="仿宋_GB2312"/>
          <w:b/>
          <w:kern w:val="0"/>
          <w:sz w:val="30"/>
          <w:szCs w:val="30"/>
        </w:rPr>
      </w:pPr>
      <w:r>
        <w:rPr>
          <w:rFonts w:hint="eastAsia" w:ascii="仿宋_GB2312" w:hAnsi="仿宋" w:eastAsia="仿宋_GB2312"/>
          <w:b/>
          <w:kern w:val="0"/>
          <w:sz w:val="30"/>
          <w:szCs w:val="30"/>
        </w:rPr>
        <w:t>参评条件</w:t>
      </w:r>
    </w:p>
    <w:p>
      <w:pPr>
        <w:spacing w:line="520" w:lineRule="exact"/>
        <w:ind w:firstLine="600" w:firstLineChars="200"/>
        <w:rPr>
          <w:rFonts w:hint="eastAsia" w:ascii="仿宋_GB2312" w:hAnsi="仿宋" w:eastAsia="仿宋_GB2312"/>
          <w:kern w:val="0"/>
          <w:sz w:val="30"/>
          <w:szCs w:val="30"/>
          <w:lang w:eastAsia="zh-CN"/>
        </w:rPr>
      </w:pPr>
      <w:r>
        <w:rPr>
          <w:rFonts w:hint="eastAsia" w:ascii="仿宋_GB2312" w:hAnsi="仿宋" w:eastAsia="仿宋_GB2312"/>
          <w:kern w:val="0"/>
          <w:sz w:val="30"/>
          <w:szCs w:val="30"/>
        </w:rPr>
        <w:t>（一）热爱社会主义祖国，拥护中国共产党的领导，自觉遵守国家的法律法规和学校的各项规章制度及大学生行为准则，具有良好的道德品质和社会公德，心态乐观，积极向上，诚实守信，乐于助人</w:t>
      </w:r>
      <w:r>
        <w:rPr>
          <w:rFonts w:hint="eastAsia" w:ascii="仿宋_GB2312" w:hAnsi="仿宋" w:eastAsia="仿宋_GB2312"/>
          <w:kern w:val="0"/>
          <w:sz w:val="30"/>
          <w:szCs w:val="30"/>
          <w:lang w:val="en-US" w:eastAsia="zh-CN"/>
        </w:rPr>
        <w:t>。</w:t>
      </w:r>
    </w:p>
    <w:p>
      <w:pPr>
        <w:spacing w:line="520" w:lineRule="exact"/>
        <w:ind w:firstLine="600" w:firstLineChars="200"/>
        <w:rPr>
          <w:rFonts w:hint="eastAsia" w:ascii="仿宋_GB2312" w:hAnsi="仿宋" w:eastAsia="仿宋_GB2312"/>
          <w:kern w:val="0"/>
          <w:sz w:val="30"/>
          <w:szCs w:val="30"/>
        </w:rPr>
      </w:pPr>
      <w:r>
        <w:rPr>
          <w:rFonts w:hint="eastAsia" w:ascii="仿宋_GB2312" w:hAnsi="仿宋" w:eastAsia="仿宋_GB2312"/>
          <w:kern w:val="0"/>
          <w:sz w:val="30"/>
          <w:szCs w:val="30"/>
        </w:rPr>
        <w:t>（二）全国普通高等院校统一招生考试录取的研究生考研综合成绩排名前30%，推免生无此限制。</w:t>
      </w:r>
    </w:p>
    <w:p>
      <w:pPr>
        <w:spacing w:line="520" w:lineRule="exact"/>
        <w:ind w:firstLine="600" w:firstLineChars="200"/>
        <w:rPr>
          <w:rFonts w:hint="eastAsia" w:ascii="仿宋_GB2312" w:hAnsi="仿宋" w:eastAsia="仿宋_GB2312"/>
          <w:kern w:val="0"/>
          <w:sz w:val="30"/>
          <w:szCs w:val="30"/>
          <w:lang w:eastAsia="zh-CN"/>
        </w:rPr>
      </w:pPr>
      <w:r>
        <w:rPr>
          <w:rFonts w:hint="eastAsia" w:ascii="仿宋_GB2312" w:hAnsi="仿宋" w:eastAsia="仿宋_GB2312"/>
          <w:kern w:val="0"/>
          <w:sz w:val="30"/>
          <w:szCs w:val="30"/>
        </w:rPr>
        <w:t>（</w:t>
      </w:r>
      <w:r>
        <w:rPr>
          <w:rFonts w:hint="eastAsia" w:ascii="仿宋_GB2312" w:hAnsi="仿宋" w:eastAsia="仿宋_GB2312"/>
          <w:kern w:val="0"/>
          <w:sz w:val="30"/>
          <w:szCs w:val="30"/>
          <w:lang w:eastAsia="zh-CN"/>
        </w:rPr>
        <w:t>三</w:t>
      </w:r>
      <w:r>
        <w:rPr>
          <w:rFonts w:hint="eastAsia" w:ascii="仿宋_GB2312" w:hAnsi="仿宋" w:eastAsia="仿宋_GB2312"/>
          <w:kern w:val="0"/>
          <w:sz w:val="30"/>
          <w:szCs w:val="30"/>
        </w:rPr>
        <w:t>）入学《金融学基础》测试成绩本专业内排名前30%</w:t>
      </w:r>
      <w:r>
        <w:rPr>
          <w:rFonts w:hint="eastAsia" w:ascii="仿宋_GB2312" w:hAnsi="仿宋" w:eastAsia="仿宋_GB2312"/>
          <w:kern w:val="0"/>
          <w:sz w:val="30"/>
          <w:szCs w:val="30"/>
          <w:lang w:val="en-US" w:eastAsia="zh-CN"/>
        </w:rPr>
        <w:t>。</w:t>
      </w:r>
    </w:p>
    <w:p>
      <w:pPr>
        <w:spacing w:line="520" w:lineRule="exact"/>
        <w:ind w:firstLine="600" w:firstLineChars="200"/>
        <w:rPr>
          <w:rFonts w:hint="eastAsia" w:ascii="仿宋_GB2312" w:hAnsi="仿宋" w:eastAsia="仿宋_GB2312"/>
          <w:kern w:val="0"/>
          <w:sz w:val="30"/>
          <w:szCs w:val="30"/>
          <w:lang w:eastAsia="zh-CN"/>
        </w:rPr>
      </w:pPr>
      <w:r>
        <w:rPr>
          <w:rFonts w:hint="eastAsia" w:ascii="仿宋_GB2312" w:hAnsi="仿宋" w:eastAsia="仿宋_GB2312"/>
          <w:kern w:val="0"/>
          <w:sz w:val="30"/>
          <w:szCs w:val="30"/>
        </w:rPr>
        <w:t>（</w:t>
      </w:r>
      <w:r>
        <w:rPr>
          <w:rFonts w:hint="eastAsia" w:ascii="仿宋_GB2312" w:hAnsi="仿宋" w:eastAsia="仿宋_GB2312"/>
          <w:kern w:val="0"/>
          <w:sz w:val="30"/>
          <w:szCs w:val="30"/>
          <w:lang w:eastAsia="zh-CN"/>
        </w:rPr>
        <w:t>四</w:t>
      </w:r>
      <w:r>
        <w:rPr>
          <w:rFonts w:hint="eastAsia" w:ascii="仿宋_GB2312" w:hAnsi="仿宋" w:eastAsia="仿宋_GB2312"/>
          <w:kern w:val="0"/>
          <w:sz w:val="30"/>
          <w:szCs w:val="30"/>
        </w:rPr>
        <w:t>）积极参加社会实践或社会公益活动</w:t>
      </w:r>
      <w:r>
        <w:rPr>
          <w:rFonts w:hint="eastAsia" w:ascii="仿宋_GB2312" w:hAnsi="仿宋" w:eastAsia="仿宋_GB2312"/>
          <w:kern w:val="0"/>
          <w:sz w:val="30"/>
          <w:szCs w:val="30"/>
          <w:lang w:eastAsia="zh-CN"/>
        </w:rPr>
        <w:t>。</w:t>
      </w:r>
    </w:p>
    <w:p>
      <w:pPr>
        <w:spacing w:line="520" w:lineRule="exact"/>
        <w:ind w:firstLine="600" w:firstLineChars="200"/>
        <w:rPr>
          <w:rFonts w:hint="eastAsia" w:ascii="仿宋_GB2312" w:hAnsi="仿宋" w:eastAsia="仿宋_GB2312"/>
          <w:b/>
          <w:kern w:val="0"/>
          <w:sz w:val="30"/>
          <w:szCs w:val="30"/>
        </w:rPr>
      </w:pPr>
      <w:r>
        <w:rPr>
          <w:rFonts w:hint="eastAsia" w:ascii="仿宋_GB2312" w:hAnsi="仿宋" w:eastAsia="仿宋_GB2312"/>
          <w:kern w:val="0"/>
          <w:sz w:val="30"/>
          <w:szCs w:val="30"/>
        </w:rPr>
        <w:t>（</w:t>
      </w:r>
      <w:r>
        <w:rPr>
          <w:rFonts w:hint="eastAsia" w:ascii="仿宋_GB2312" w:hAnsi="仿宋" w:eastAsia="仿宋_GB2312"/>
          <w:kern w:val="0"/>
          <w:sz w:val="30"/>
          <w:szCs w:val="30"/>
          <w:lang w:eastAsia="zh-CN"/>
        </w:rPr>
        <w:t>五</w:t>
      </w:r>
      <w:r>
        <w:rPr>
          <w:rFonts w:hint="eastAsia" w:ascii="仿宋_GB2312" w:hAnsi="仿宋" w:eastAsia="仿宋_GB2312"/>
          <w:kern w:val="0"/>
          <w:sz w:val="30"/>
          <w:szCs w:val="30"/>
        </w:rPr>
        <w:t>）积极参加学院及以上的各种文体活动和学术活动</w:t>
      </w:r>
      <w:r>
        <w:rPr>
          <w:rFonts w:hint="eastAsia" w:ascii="仿宋_GB2312" w:hAnsi="仿宋" w:eastAsia="仿宋_GB2312"/>
          <w:b/>
          <w:kern w:val="0"/>
          <w:sz w:val="30"/>
          <w:szCs w:val="30"/>
        </w:rPr>
        <w:t>。</w:t>
      </w:r>
    </w:p>
    <w:p>
      <w:pPr>
        <w:spacing w:line="520" w:lineRule="exact"/>
        <w:ind w:firstLine="480"/>
        <w:rPr>
          <w:rFonts w:ascii="黑体" w:hAnsi="黑体" w:eastAsia="黑体"/>
          <w:kern w:val="0"/>
          <w:sz w:val="30"/>
          <w:szCs w:val="30"/>
        </w:rPr>
      </w:pPr>
      <w:bookmarkStart w:id="5" w:name="_Toc278740735"/>
      <w:bookmarkStart w:id="6" w:name="_Toc278888458"/>
      <w:bookmarkStart w:id="7" w:name="_Toc278906553"/>
      <w:bookmarkStart w:id="8" w:name="_Toc278887262"/>
      <w:bookmarkStart w:id="9" w:name="_Toc278830625"/>
    </w:p>
    <w:p>
      <w:pPr>
        <w:spacing w:line="520" w:lineRule="exact"/>
        <w:jc w:val="center"/>
        <w:rPr>
          <w:rFonts w:hint="eastAsia" w:ascii="仿宋_GB2312" w:hAnsi="仿宋" w:eastAsia="仿宋_GB2312"/>
          <w:kern w:val="0"/>
          <w:sz w:val="30"/>
          <w:szCs w:val="30"/>
          <w:lang w:eastAsia="zh-CN"/>
        </w:rPr>
      </w:pPr>
      <w:r>
        <w:rPr>
          <w:rFonts w:hint="eastAsia" w:ascii="仿宋_GB2312" w:hAnsi="仿宋" w:eastAsia="仿宋_GB2312"/>
          <w:b/>
          <w:sz w:val="30"/>
          <w:szCs w:val="30"/>
        </w:rPr>
        <w:t>第三章 评奖工作组织</w:t>
      </w:r>
      <w:bookmarkEnd w:id="5"/>
      <w:bookmarkEnd w:id="6"/>
      <w:bookmarkEnd w:id="7"/>
      <w:bookmarkEnd w:id="8"/>
      <w:bookmarkEnd w:id="9"/>
      <w:r>
        <w:rPr>
          <w:rFonts w:hint="eastAsia" w:ascii="仿宋_GB2312" w:hAnsi="仿宋" w:eastAsia="仿宋_GB2312"/>
          <w:b/>
          <w:sz w:val="30"/>
          <w:szCs w:val="30"/>
          <w:lang w:eastAsia="zh-CN"/>
        </w:rPr>
        <w:t>及原则</w:t>
      </w:r>
    </w:p>
    <w:p>
      <w:pPr>
        <w:spacing w:line="520" w:lineRule="exact"/>
        <w:ind w:firstLine="602" w:firstLineChars="200"/>
        <w:rPr>
          <w:rFonts w:hint="eastAsia" w:ascii="仿宋_GB2312" w:hAnsi="仿宋" w:eastAsia="仿宋_GB2312" w:cs="宋体"/>
          <w:kern w:val="0"/>
          <w:sz w:val="30"/>
          <w:szCs w:val="30"/>
        </w:rPr>
      </w:pPr>
      <w:bookmarkStart w:id="10" w:name="BM8"/>
      <w:r>
        <w:rPr>
          <w:rFonts w:hint="eastAsia" w:ascii="仿宋_GB2312" w:hAnsi="仿宋" w:eastAsia="仿宋_GB2312"/>
          <w:b/>
          <w:kern w:val="0"/>
          <w:sz w:val="30"/>
          <w:szCs w:val="30"/>
        </w:rPr>
        <w:t>第五条</w:t>
      </w:r>
      <w:bookmarkEnd w:id="10"/>
      <w:r>
        <w:rPr>
          <w:rFonts w:hint="eastAsia" w:ascii="仿宋_GB2312" w:hAnsi="仿宋" w:eastAsia="仿宋_GB2312"/>
          <w:b/>
          <w:kern w:val="0"/>
          <w:sz w:val="30"/>
          <w:szCs w:val="30"/>
        </w:rPr>
        <w:t xml:space="preserve"> </w:t>
      </w:r>
      <w:r>
        <w:rPr>
          <w:rFonts w:hint="eastAsia" w:ascii="仿宋_GB2312" w:hAnsi="仿宋" w:eastAsia="仿宋_GB2312" w:cs="宋体"/>
          <w:kern w:val="0"/>
          <w:sz w:val="30"/>
          <w:szCs w:val="30"/>
        </w:rPr>
        <w:t>“</w:t>
      </w:r>
      <w:r>
        <w:rPr>
          <w:rFonts w:hint="eastAsia" w:ascii="仿宋_GB2312" w:hAnsi="仿宋" w:eastAsia="仿宋_GB2312"/>
          <w:sz w:val="30"/>
          <w:szCs w:val="30"/>
          <w:lang w:eastAsia="zh-CN"/>
        </w:rPr>
        <w:t>人保奖学金</w:t>
      </w:r>
      <w:r>
        <w:rPr>
          <w:rFonts w:hint="eastAsia" w:ascii="仿宋_GB2312" w:hAnsi="仿宋" w:eastAsia="仿宋_GB2312" w:cs="宋体"/>
          <w:kern w:val="0"/>
          <w:sz w:val="30"/>
          <w:szCs w:val="30"/>
        </w:rPr>
        <w:t>”评奖工作</w:t>
      </w:r>
      <w:r>
        <w:rPr>
          <w:rFonts w:hint="eastAsia" w:ascii="仿宋_GB2312" w:hAnsi="仿宋" w:eastAsia="仿宋_GB2312"/>
          <w:sz w:val="30"/>
          <w:szCs w:val="30"/>
        </w:rPr>
        <w:t>坚持公开、公平、公正的原则，学院应当认真阅读和调查奖学金申请人的申请材料，严格掌握推荐与评选标准，严格遵守评审程序，采取学生申请、学院评定的方式进行。学院成立评审小组</w:t>
      </w:r>
      <w:r>
        <w:rPr>
          <w:rFonts w:hint="eastAsia" w:ascii="仿宋_GB2312" w:hAnsi="仿宋" w:eastAsia="仿宋_GB2312" w:cs="宋体"/>
          <w:kern w:val="0"/>
          <w:sz w:val="30"/>
          <w:szCs w:val="30"/>
        </w:rPr>
        <w:t>具体进行评选，</w:t>
      </w:r>
      <w:r>
        <w:rPr>
          <w:rFonts w:hint="eastAsia" w:ascii="仿宋_GB2312" w:hAnsi="仿宋" w:eastAsia="仿宋_GB2312"/>
          <w:sz w:val="30"/>
          <w:szCs w:val="30"/>
        </w:rPr>
        <w:t>评选结果在学院公示</w:t>
      </w:r>
      <w:r>
        <w:rPr>
          <w:rFonts w:hint="eastAsia" w:ascii="仿宋_GB2312" w:hAnsi="仿宋" w:eastAsia="仿宋_GB2312"/>
          <w:sz w:val="30"/>
          <w:szCs w:val="30"/>
          <w:lang w:val="en-US" w:eastAsia="zh-CN"/>
        </w:rPr>
        <w:t>3</w:t>
      </w:r>
      <w:r>
        <w:rPr>
          <w:rFonts w:hint="eastAsia" w:ascii="仿宋_GB2312" w:hAnsi="仿宋" w:eastAsia="仿宋_GB2312"/>
          <w:sz w:val="30"/>
          <w:szCs w:val="30"/>
          <w:lang w:eastAsia="zh-CN"/>
        </w:rPr>
        <w:t>天</w:t>
      </w:r>
      <w:r>
        <w:rPr>
          <w:rFonts w:hint="eastAsia" w:ascii="仿宋_GB2312" w:hAnsi="仿宋" w:eastAsia="仿宋_GB2312"/>
          <w:sz w:val="30"/>
          <w:szCs w:val="30"/>
        </w:rPr>
        <w:t>无异议后将获奖候选人名单和相关材料报到</w:t>
      </w:r>
      <w:r>
        <w:rPr>
          <w:rFonts w:hint="eastAsia" w:ascii="仿宋_GB2312" w:hAnsi="仿宋" w:eastAsia="仿宋_GB2312"/>
          <w:sz w:val="30"/>
          <w:szCs w:val="30"/>
          <w:lang w:eastAsia="zh-CN"/>
        </w:rPr>
        <w:t>中央财经大学教育基金会</w:t>
      </w:r>
      <w:r>
        <w:rPr>
          <w:rFonts w:hint="eastAsia" w:ascii="仿宋_GB2312" w:hAnsi="仿宋" w:eastAsia="仿宋_GB2312" w:cs="宋体"/>
          <w:kern w:val="0"/>
          <w:sz w:val="30"/>
          <w:szCs w:val="30"/>
        </w:rPr>
        <w:t>。</w:t>
      </w:r>
      <w:r>
        <w:rPr>
          <w:rFonts w:hint="eastAsia" w:ascii="仿宋_GB2312" w:hAnsi="仿宋" w:eastAsia="仿宋_GB2312" w:cs="宋体"/>
          <w:kern w:val="0"/>
          <w:sz w:val="30"/>
          <w:szCs w:val="30"/>
          <w:lang w:eastAsia="zh-CN"/>
        </w:rPr>
        <w:t>基金</w:t>
      </w:r>
      <w:r>
        <w:rPr>
          <w:rFonts w:hint="eastAsia" w:ascii="仿宋_GB2312" w:hAnsi="仿宋" w:eastAsia="仿宋_GB2312" w:cs="宋体"/>
          <w:kern w:val="0"/>
          <w:sz w:val="30"/>
          <w:szCs w:val="30"/>
        </w:rPr>
        <w:t>会经审核确认后拨付奖学金。</w:t>
      </w:r>
    </w:p>
    <w:p>
      <w:pPr>
        <w:spacing w:line="520" w:lineRule="exact"/>
        <w:ind w:firstLine="600" w:firstLineChars="200"/>
        <w:rPr>
          <w:rFonts w:hint="eastAsia" w:ascii="仿宋_GB2312" w:hAnsi="仿宋" w:eastAsia="仿宋_GB2312" w:cs="宋体"/>
          <w:kern w:val="0"/>
          <w:sz w:val="30"/>
          <w:szCs w:val="30"/>
        </w:rPr>
      </w:pPr>
      <w:r>
        <w:rPr>
          <w:rFonts w:hint="eastAsia" w:ascii="仿宋_GB2312" w:hAnsi="仿宋" w:eastAsia="仿宋_GB2312" w:cs="宋体"/>
          <w:kern w:val="0"/>
          <w:sz w:val="30"/>
          <w:szCs w:val="30"/>
        </w:rPr>
        <w:t>其他条件相同的情况下：</w:t>
      </w:r>
    </w:p>
    <w:p>
      <w:pPr>
        <w:spacing w:line="520" w:lineRule="exact"/>
        <w:ind w:firstLine="600" w:firstLineChars="200"/>
        <w:rPr>
          <w:rFonts w:hint="eastAsia" w:ascii="仿宋_GB2312" w:hAnsi="仿宋" w:eastAsia="仿宋_GB2312" w:cs="宋体"/>
          <w:kern w:val="0"/>
          <w:sz w:val="30"/>
          <w:szCs w:val="30"/>
        </w:rPr>
      </w:pPr>
      <w:r>
        <w:rPr>
          <w:rFonts w:hint="eastAsia" w:ascii="仿宋_GB2312" w:hAnsi="仿宋" w:eastAsia="仿宋_GB2312" w:cs="宋体"/>
          <w:kern w:val="0"/>
          <w:sz w:val="30"/>
          <w:szCs w:val="30"/>
        </w:rPr>
        <w:t>1. 家庭经济困难同学优先考虑。</w:t>
      </w:r>
    </w:p>
    <w:p>
      <w:pPr>
        <w:spacing w:line="520" w:lineRule="exact"/>
        <w:ind w:firstLine="600" w:firstLineChars="200"/>
        <w:rPr>
          <w:rFonts w:hint="eastAsia" w:ascii="仿宋_GB2312" w:hAnsi="仿宋" w:eastAsia="仿宋_GB2312" w:cs="宋体"/>
          <w:kern w:val="0"/>
          <w:sz w:val="30"/>
          <w:szCs w:val="30"/>
        </w:rPr>
      </w:pPr>
      <w:r>
        <w:rPr>
          <w:rFonts w:hint="eastAsia" w:ascii="仿宋_GB2312" w:hAnsi="仿宋" w:eastAsia="仿宋_GB2312" w:cs="宋体"/>
          <w:kern w:val="0"/>
          <w:sz w:val="30"/>
          <w:szCs w:val="30"/>
        </w:rPr>
        <w:t>2. 研究生期间有科研成果、有担任学生干部的同学优先考虑。其中科研成果可以是</w:t>
      </w:r>
      <w:r>
        <w:rPr>
          <w:rFonts w:hint="eastAsia" w:ascii="仿宋_GB2312" w:hAnsi="仿宋" w:eastAsia="仿宋_GB2312" w:cs="宋体"/>
          <w:kern w:val="0"/>
          <w:sz w:val="30"/>
          <w:szCs w:val="30"/>
          <w:lang w:eastAsia="zh-CN"/>
        </w:rPr>
        <w:t>当年</w:t>
      </w:r>
      <w:r>
        <w:rPr>
          <w:rFonts w:hint="eastAsia" w:ascii="仿宋_GB2312" w:hAnsi="仿宋" w:eastAsia="仿宋_GB2312" w:cs="宋体"/>
          <w:kern w:val="0"/>
          <w:sz w:val="30"/>
          <w:szCs w:val="30"/>
        </w:rPr>
        <w:t>1月1日至11月1日内的成果， A类及以上期刊用稿通知可以使用，A类以下期刊需见刊。</w:t>
      </w:r>
    </w:p>
    <w:p>
      <w:pPr>
        <w:spacing w:line="520" w:lineRule="exact"/>
        <w:ind w:firstLine="600" w:firstLineChars="200"/>
        <w:rPr>
          <w:rFonts w:hint="eastAsia" w:ascii="仿宋_GB2312" w:hAnsi="仿宋" w:eastAsia="仿宋_GB2312" w:cs="宋体"/>
          <w:kern w:val="0"/>
          <w:sz w:val="30"/>
          <w:szCs w:val="30"/>
        </w:rPr>
      </w:pPr>
      <w:r>
        <w:rPr>
          <w:rFonts w:hint="eastAsia" w:ascii="仿宋_GB2312" w:hAnsi="仿宋" w:eastAsia="仿宋_GB2312" w:cs="宋体"/>
          <w:kern w:val="0"/>
          <w:sz w:val="30"/>
          <w:szCs w:val="30"/>
        </w:rPr>
        <w:t>3. 积极参加学院及以上的各种文体活动和学术活动，获表彰者优先考虑。</w:t>
      </w:r>
    </w:p>
    <w:p>
      <w:pPr>
        <w:spacing w:line="520" w:lineRule="exact"/>
        <w:rPr>
          <w:rFonts w:ascii="仿宋_GB2312" w:hAnsi="仿宋" w:eastAsia="仿宋_GB2312" w:cs="宋体"/>
          <w:kern w:val="0"/>
          <w:sz w:val="30"/>
          <w:szCs w:val="30"/>
        </w:rPr>
      </w:pPr>
      <w:bookmarkStart w:id="11" w:name="_Toc278906554"/>
      <w:bookmarkStart w:id="12" w:name="_Toc278887263"/>
      <w:bookmarkStart w:id="13" w:name="_Toc278830626"/>
      <w:bookmarkStart w:id="14" w:name="_Toc278740736"/>
      <w:bookmarkStart w:id="15" w:name="_Toc278888459"/>
    </w:p>
    <w:p>
      <w:pPr>
        <w:spacing w:line="520" w:lineRule="exact"/>
        <w:jc w:val="center"/>
        <w:rPr>
          <w:rFonts w:ascii="仿宋_GB2312" w:hAnsi="仿宋" w:eastAsia="仿宋_GB2312"/>
          <w:b/>
          <w:kern w:val="0"/>
          <w:sz w:val="30"/>
          <w:szCs w:val="30"/>
        </w:rPr>
      </w:pPr>
      <w:r>
        <w:rPr>
          <w:rFonts w:hint="eastAsia" w:ascii="仿宋_GB2312" w:hAnsi="仿宋" w:eastAsia="仿宋_GB2312"/>
          <w:b/>
          <w:kern w:val="0"/>
          <w:sz w:val="30"/>
          <w:szCs w:val="30"/>
        </w:rPr>
        <w:t>第四章 评奖</w:t>
      </w:r>
      <w:bookmarkEnd w:id="11"/>
      <w:bookmarkEnd w:id="12"/>
      <w:bookmarkEnd w:id="13"/>
      <w:bookmarkEnd w:id="14"/>
      <w:bookmarkEnd w:id="15"/>
      <w:bookmarkStart w:id="16" w:name="BM9"/>
      <w:r>
        <w:rPr>
          <w:rFonts w:hint="eastAsia" w:ascii="仿宋_GB2312" w:hAnsi="仿宋" w:eastAsia="仿宋_GB2312"/>
          <w:b/>
          <w:kern w:val="0"/>
          <w:sz w:val="30"/>
          <w:szCs w:val="30"/>
        </w:rPr>
        <w:t>程序</w:t>
      </w:r>
    </w:p>
    <w:p>
      <w:pPr>
        <w:spacing w:line="520" w:lineRule="exact"/>
        <w:ind w:firstLine="560"/>
        <w:rPr>
          <w:rFonts w:ascii="仿宋_GB2312" w:hAnsi="仿宋" w:eastAsia="仿宋_GB2312" w:cs="宋体"/>
          <w:b/>
          <w:kern w:val="0"/>
          <w:sz w:val="30"/>
          <w:szCs w:val="30"/>
        </w:rPr>
      </w:pPr>
      <w:r>
        <w:rPr>
          <w:rFonts w:hint="eastAsia" w:ascii="仿宋_GB2312" w:hAnsi="仿宋" w:eastAsia="仿宋_GB2312"/>
          <w:b/>
          <w:kern w:val="0"/>
          <w:sz w:val="30"/>
          <w:szCs w:val="30"/>
        </w:rPr>
        <w:t xml:space="preserve">第六条 </w:t>
      </w:r>
      <w:r>
        <w:rPr>
          <w:rFonts w:hint="eastAsia" w:ascii="仿宋_GB2312" w:hAnsi="仿宋" w:eastAsia="仿宋_GB2312" w:cs="宋体"/>
          <w:b/>
          <w:kern w:val="0"/>
          <w:sz w:val="30"/>
          <w:szCs w:val="30"/>
        </w:rPr>
        <w:t>评奖流程</w:t>
      </w:r>
    </w:p>
    <w:p>
      <w:pPr>
        <w:spacing w:line="520" w:lineRule="exact"/>
        <w:ind w:firstLine="600" w:firstLineChars="200"/>
        <w:rPr>
          <w:rFonts w:ascii="仿宋_GB2312" w:hAnsi="仿宋" w:eastAsia="仿宋_GB2312"/>
          <w:kern w:val="0"/>
          <w:sz w:val="30"/>
          <w:szCs w:val="30"/>
        </w:rPr>
      </w:pPr>
      <w:r>
        <w:rPr>
          <w:rFonts w:hint="eastAsia" w:ascii="仿宋_GB2312" w:hAnsi="仿宋" w:eastAsia="仿宋_GB2312"/>
          <w:kern w:val="0"/>
          <w:sz w:val="30"/>
          <w:szCs w:val="30"/>
        </w:rPr>
        <w:t>（一）建章立制</w:t>
      </w:r>
    </w:p>
    <w:p>
      <w:pPr>
        <w:spacing w:line="520" w:lineRule="exact"/>
        <w:ind w:firstLine="600" w:firstLineChars="200"/>
        <w:rPr>
          <w:rFonts w:ascii="仿宋_GB2312" w:hAnsi="仿宋" w:eastAsia="仿宋_GB2312"/>
          <w:kern w:val="0"/>
          <w:sz w:val="30"/>
          <w:szCs w:val="30"/>
        </w:rPr>
      </w:pPr>
      <w:r>
        <w:rPr>
          <w:rFonts w:hint="eastAsia" w:ascii="仿宋_GB2312" w:hAnsi="仿宋" w:eastAsia="仿宋_GB2312"/>
          <w:kern w:val="0"/>
          <w:sz w:val="30"/>
          <w:szCs w:val="30"/>
        </w:rPr>
        <w:t>学院成立评审小组，组长：李建军，组员：</w:t>
      </w:r>
      <w:r>
        <w:rPr>
          <w:rFonts w:hint="eastAsia" w:ascii="仿宋_GB2312" w:hAnsi="仿宋" w:eastAsia="仿宋_GB2312"/>
          <w:kern w:val="0"/>
          <w:sz w:val="30"/>
          <w:szCs w:val="30"/>
          <w:lang w:eastAsia="zh-CN"/>
        </w:rPr>
        <w:t>李俊峰、</w:t>
      </w:r>
      <w:r>
        <w:rPr>
          <w:rFonts w:hint="eastAsia" w:ascii="仿宋_GB2312" w:hAnsi="仿宋" w:eastAsia="仿宋_GB2312"/>
          <w:kern w:val="0"/>
          <w:sz w:val="30"/>
          <w:szCs w:val="30"/>
        </w:rPr>
        <w:t>应展宇、王辉、聂利君、刘勇、罗卓笔、</w:t>
      </w:r>
      <w:r>
        <w:rPr>
          <w:rFonts w:hint="eastAsia" w:ascii="仿宋_GB2312" w:hAnsi="仿宋" w:eastAsia="仿宋_GB2312"/>
          <w:kern w:val="0"/>
          <w:sz w:val="30"/>
          <w:szCs w:val="30"/>
          <w:lang w:eastAsia="zh-CN"/>
        </w:rPr>
        <w:t>安虹、</w:t>
      </w:r>
      <w:r>
        <w:rPr>
          <w:rFonts w:hint="eastAsia" w:ascii="仿宋_GB2312" w:hAnsi="仿宋" w:eastAsia="仿宋_GB2312"/>
          <w:kern w:val="0"/>
          <w:sz w:val="30"/>
          <w:szCs w:val="30"/>
        </w:rPr>
        <w:t>位锦。评审小组制定评选办法并依据该办法组织开展评选工作。</w:t>
      </w:r>
    </w:p>
    <w:p>
      <w:pPr>
        <w:spacing w:line="520" w:lineRule="exact"/>
        <w:ind w:firstLine="560"/>
        <w:rPr>
          <w:rFonts w:ascii="仿宋_GB2312" w:hAnsi="仿宋" w:eastAsia="仿宋_GB2312"/>
          <w:kern w:val="0"/>
          <w:sz w:val="30"/>
          <w:szCs w:val="30"/>
        </w:rPr>
      </w:pPr>
      <w:bookmarkStart w:id="23" w:name="_GoBack"/>
      <w:r>
        <w:rPr>
          <w:rFonts w:hint="eastAsia" w:ascii="仿宋_GB2312" w:hAnsi="仿宋" w:eastAsia="仿宋_GB2312"/>
          <w:kern w:val="0"/>
          <w:sz w:val="30"/>
          <w:szCs w:val="30"/>
        </w:rPr>
        <w:t>（二）申请、评选和推荐</w:t>
      </w:r>
    </w:p>
    <w:bookmarkEnd w:id="23"/>
    <w:p>
      <w:pPr>
        <w:spacing w:line="520" w:lineRule="exact"/>
        <w:ind w:firstLine="560"/>
        <w:rPr>
          <w:rFonts w:ascii="仿宋_GB2312" w:hAnsi="仿宋" w:eastAsia="仿宋_GB2312"/>
          <w:kern w:val="0"/>
          <w:sz w:val="30"/>
          <w:szCs w:val="30"/>
        </w:rPr>
      </w:pPr>
      <w:r>
        <w:rPr>
          <w:rFonts w:hint="eastAsia" w:ascii="仿宋_GB2312" w:hAnsi="仿宋" w:eastAsia="仿宋_GB2312"/>
          <w:kern w:val="0"/>
          <w:sz w:val="30"/>
          <w:szCs w:val="30"/>
        </w:rPr>
        <w:t>申请：申报学生认真填写《</w:t>
      </w:r>
      <w:r>
        <w:rPr>
          <w:rFonts w:hint="eastAsia" w:ascii="仿宋_GB2312" w:hAnsi="仿宋" w:eastAsia="仿宋_GB2312"/>
          <w:kern w:val="0"/>
          <w:sz w:val="30"/>
          <w:szCs w:val="30"/>
          <w:lang w:eastAsia="zh-CN"/>
        </w:rPr>
        <w:t>中国人保奖学金</w:t>
      </w:r>
      <w:r>
        <w:rPr>
          <w:rFonts w:hint="eastAsia" w:ascii="仿宋_GB2312" w:hAnsi="仿宋" w:eastAsia="仿宋_GB2312"/>
          <w:kern w:val="0"/>
          <w:sz w:val="30"/>
          <w:szCs w:val="30"/>
        </w:rPr>
        <w:t>申请表》（附件1）、《</w:t>
      </w:r>
      <w:r>
        <w:rPr>
          <w:rFonts w:hint="eastAsia" w:ascii="仿宋_GB2312" w:hAnsi="仿宋" w:eastAsia="仿宋_GB2312"/>
          <w:kern w:val="0"/>
          <w:sz w:val="30"/>
          <w:szCs w:val="30"/>
          <w:lang w:eastAsia="zh-CN"/>
        </w:rPr>
        <w:t>中国人保奖学金</w:t>
      </w:r>
      <w:r>
        <w:rPr>
          <w:rFonts w:hint="eastAsia" w:ascii="仿宋_GB2312" w:hAnsi="仿宋" w:eastAsia="仿宋_GB2312"/>
          <w:kern w:val="0"/>
          <w:sz w:val="30"/>
          <w:szCs w:val="30"/>
        </w:rPr>
        <w:t>申请人主要成果一览表》（附件</w:t>
      </w:r>
      <w:r>
        <w:rPr>
          <w:rFonts w:hint="eastAsia" w:ascii="仿宋_GB2312" w:hAnsi="仿宋" w:eastAsia="仿宋_GB2312"/>
          <w:kern w:val="0"/>
          <w:sz w:val="30"/>
          <w:szCs w:val="30"/>
          <w:lang w:val="en-US" w:eastAsia="zh-CN"/>
        </w:rPr>
        <w:t>2</w:t>
      </w:r>
      <w:r>
        <w:rPr>
          <w:rFonts w:hint="eastAsia" w:ascii="仿宋_GB2312" w:hAnsi="仿宋" w:eastAsia="仿宋_GB2312"/>
          <w:kern w:val="0"/>
          <w:sz w:val="30"/>
          <w:szCs w:val="30"/>
        </w:rPr>
        <w:t>）。</w:t>
      </w:r>
    </w:p>
    <w:p>
      <w:pPr>
        <w:spacing w:line="520" w:lineRule="exact"/>
        <w:ind w:firstLine="560"/>
        <w:rPr>
          <w:rFonts w:ascii="仿宋_GB2312" w:hAnsi="仿宋" w:eastAsia="仿宋_GB2312" w:cs="宋体"/>
          <w:kern w:val="0"/>
          <w:sz w:val="30"/>
          <w:szCs w:val="30"/>
        </w:rPr>
      </w:pPr>
      <w:r>
        <w:rPr>
          <w:rFonts w:hint="eastAsia" w:ascii="仿宋_GB2312" w:hAnsi="仿宋" w:eastAsia="仿宋_GB2312"/>
          <w:kern w:val="0"/>
          <w:sz w:val="30"/>
          <w:szCs w:val="30"/>
        </w:rPr>
        <w:t>评选：评审小组结合申请人的成绩、素质评价以及科研成果与获奖情况进行评奖，其中科研与获奖分数参照附表1计算。奖学金评审</w:t>
      </w:r>
      <w:r>
        <w:rPr>
          <w:rFonts w:hint="eastAsia" w:ascii="仿宋_GB2312" w:hAnsi="仿宋" w:eastAsia="仿宋_GB2312" w:cs="宋体"/>
          <w:kern w:val="0"/>
          <w:sz w:val="30"/>
          <w:szCs w:val="30"/>
        </w:rPr>
        <w:t>工作中（1）坚持公开、公平、公正、择优的原则，实行等额评审；（2）评审组到会成员应达到应到成员的三分之二方能开会；（3）评审以无记名投票方式投票。每位评审小组成员拥有的投票数应</w:t>
      </w:r>
      <w:r>
        <w:rPr>
          <w:rFonts w:hint="eastAsia" w:ascii="仿宋_GB2312" w:hAnsi="仿宋" w:cs="宋体"/>
          <w:kern w:val="0"/>
          <w:sz w:val="30"/>
          <w:szCs w:val="30"/>
        </w:rPr>
        <w:t>与</w:t>
      </w:r>
      <w:r>
        <w:rPr>
          <w:rFonts w:hint="eastAsia" w:ascii="仿宋_GB2312" w:hAnsi="仿宋" w:eastAsia="仿宋_GB2312" w:cs="宋体"/>
          <w:kern w:val="0"/>
          <w:sz w:val="30"/>
          <w:szCs w:val="30"/>
        </w:rPr>
        <w:t xml:space="preserve">基金会分配给学院的名额一致；（4）按票数高低进行排序，当两位或以上申请人得票数相同，则需要对票数相同的几位申请人单独再次投票，直至排出先后次序。  </w:t>
      </w:r>
    </w:p>
    <w:p>
      <w:pPr>
        <w:spacing w:line="520" w:lineRule="exact"/>
        <w:ind w:firstLine="560"/>
        <w:rPr>
          <w:rFonts w:ascii="仿宋_GB2312" w:hAnsi="仿宋" w:eastAsia="仿宋_GB2312" w:cs="宋体"/>
          <w:kern w:val="0"/>
          <w:sz w:val="30"/>
          <w:szCs w:val="30"/>
        </w:rPr>
      </w:pPr>
      <w:r>
        <w:rPr>
          <w:rFonts w:hint="eastAsia" w:ascii="仿宋_GB2312" w:hAnsi="仿宋" w:eastAsia="仿宋_GB2312"/>
          <w:kern w:val="0"/>
          <w:sz w:val="30"/>
          <w:szCs w:val="30"/>
        </w:rPr>
        <w:t>公示：学院对评选出的拟推荐</w:t>
      </w:r>
      <w:r>
        <w:rPr>
          <w:rFonts w:hint="eastAsia" w:ascii="仿宋_GB2312" w:hAnsi="仿宋" w:eastAsia="仿宋_GB2312" w:cs="宋体"/>
          <w:kern w:val="0"/>
          <w:sz w:val="30"/>
          <w:szCs w:val="30"/>
        </w:rPr>
        <w:t>“</w:t>
      </w:r>
      <w:r>
        <w:rPr>
          <w:rFonts w:hint="eastAsia" w:ascii="仿宋_GB2312" w:hAnsi="仿宋" w:eastAsia="仿宋_GB2312" w:cs="宋体"/>
          <w:kern w:val="0"/>
          <w:sz w:val="30"/>
          <w:szCs w:val="30"/>
          <w:lang w:eastAsia="zh-CN"/>
        </w:rPr>
        <w:t>中国</w:t>
      </w:r>
      <w:r>
        <w:rPr>
          <w:rFonts w:hint="eastAsia" w:ascii="仿宋_GB2312" w:hAnsi="仿宋" w:eastAsia="仿宋_GB2312"/>
          <w:sz w:val="30"/>
          <w:szCs w:val="30"/>
          <w:lang w:eastAsia="zh-CN"/>
        </w:rPr>
        <w:t>人保奖学金</w:t>
      </w:r>
      <w:r>
        <w:rPr>
          <w:rFonts w:hint="eastAsia" w:ascii="仿宋_GB2312" w:hAnsi="仿宋" w:eastAsia="仿宋_GB2312" w:cs="宋体"/>
          <w:kern w:val="0"/>
          <w:sz w:val="30"/>
          <w:szCs w:val="30"/>
        </w:rPr>
        <w:t>”获奖人结果进行为期</w:t>
      </w:r>
      <w:r>
        <w:rPr>
          <w:rFonts w:hint="eastAsia" w:ascii="仿宋_GB2312" w:hAnsi="仿宋" w:eastAsia="仿宋_GB2312" w:cs="宋体"/>
          <w:kern w:val="0"/>
          <w:sz w:val="30"/>
          <w:szCs w:val="30"/>
          <w:lang w:val="en-US" w:eastAsia="zh-CN"/>
        </w:rPr>
        <w:t>3天</w:t>
      </w:r>
      <w:r>
        <w:rPr>
          <w:rFonts w:hint="eastAsia" w:ascii="仿宋_GB2312" w:hAnsi="仿宋" w:eastAsia="仿宋_GB2312" w:cs="宋体"/>
          <w:kern w:val="0"/>
          <w:sz w:val="30"/>
          <w:szCs w:val="30"/>
        </w:rPr>
        <w:t>院内公示。</w:t>
      </w:r>
    </w:p>
    <w:p>
      <w:pPr>
        <w:spacing w:line="520" w:lineRule="exact"/>
        <w:ind w:firstLine="560"/>
        <w:rPr>
          <w:rFonts w:ascii="仿宋_GB2312" w:hAnsi="仿宋" w:eastAsia="仿宋_GB2312" w:cs="宋体"/>
          <w:kern w:val="0"/>
          <w:sz w:val="30"/>
          <w:szCs w:val="30"/>
        </w:rPr>
      </w:pPr>
      <w:r>
        <w:rPr>
          <w:rFonts w:hint="eastAsia" w:ascii="仿宋_GB2312" w:hAnsi="仿宋" w:eastAsia="仿宋_GB2312" w:cs="宋体"/>
          <w:kern w:val="0"/>
          <w:sz w:val="30"/>
          <w:szCs w:val="30"/>
        </w:rPr>
        <w:t>（三）审批与拨款</w:t>
      </w:r>
    </w:p>
    <w:p>
      <w:pPr>
        <w:spacing w:line="520" w:lineRule="exact"/>
        <w:ind w:firstLine="560"/>
        <w:rPr>
          <w:rFonts w:ascii="仿宋_GB2312" w:hAnsi="仿宋" w:eastAsia="仿宋_GB2312"/>
          <w:kern w:val="0"/>
          <w:sz w:val="30"/>
          <w:szCs w:val="30"/>
        </w:rPr>
      </w:pPr>
      <w:r>
        <w:rPr>
          <w:rFonts w:hint="eastAsia" w:ascii="仿宋_GB2312" w:hAnsi="仿宋" w:eastAsia="仿宋_GB2312"/>
          <w:kern w:val="0"/>
          <w:sz w:val="30"/>
          <w:szCs w:val="30"/>
          <w:lang w:eastAsia="zh-CN"/>
        </w:rPr>
        <w:t>基金</w:t>
      </w:r>
      <w:r>
        <w:rPr>
          <w:rFonts w:hint="eastAsia" w:ascii="仿宋_GB2312" w:hAnsi="仿宋" w:eastAsia="仿宋_GB2312"/>
          <w:kern w:val="0"/>
          <w:sz w:val="30"/>
          <w:szCs w:val="30"/>
        </w:rPr>
        <w:t>会批复并拨款后，学院将颁发获奖证书，并按照获奖情况一次性发放奖学金。</w:t>
      </w:r>
    </w:p>
    <w:p>
      <w:pPr>
        <w:spacing w:line="520" w:lineRule="exact"/>
        <w:ind w:firstLine="560"/>
        <w:rPr>
          <w:rFonts w:ascii="仿宋_GB2312" w:hAnsi="仿宋" w:eastAsia="仿宋_GB2312" w:cs="宋体"/>
          <w:kern w:val="0"/>
          <w:sz w:val="30"/>
          <w:szCs w:val="30"/>
        </w:rPr>
      </w:pPr>
      <w:r>
        <w:rPr>
          <w:rFonts w:hint="eastAsia" w:ascii="仿宋_GB2312" w:hAnsi="仿宋" w:eastAsia="仿宋_GB2312"/>
          <w:kern w:val="0"/>
          <w:sz w:val="30"/>
          <w:szCs w:val="30"/>
        </w:rPr>
        <w:t>学院严格执行基金会和本办法的规定，对“</w:t>
      </w:r>
      <w:r>
        <w:rPr>
          <w:rFonts w:hint="eastAsia" w:ascii="仿宋_GB2312" w:hAnsi="仿宋" w:eastAsia="仿宋_GB2312"/>
          <w:kern w:val="0"/>
          <w:sz w:val="30"/>
          <w:szCs w:val="30"/>
          <w:lang w:eastAsia="zh-CN"/>
        </w:rPr>
        <w:t>人保奖学金</w:t>
      </w:r>
      <w:r>
        <w:rPr>
          <w:rFonts w:hint="eastAsia" w:ascii="仿宋_GB2312" w:hAnsi="仿宋" w:eastAsia="仿宋_GB2312"/>
          <w:kern w:val="0"/>
          <w:sz w:val="30"/>
          <w:szCs w:val="30"/>
        </w:rPr>
        <w:t>”实行分账核算，专款专用，不截留、挤占、挪用，同时接受基金会的检查和监督。</w:t>
      </w:r>
    </w:p>
    <w:p>
      <w:pPr>
        <w:spacing w:line="520" w:lineRule="exact"/>
        <w:ind w:firstLine="560"/>
        <w:rPr>
          <w:rFonts w:ascii="仿宋_GB2312" w:hAnsi="仿宋" w:eastAsia="仿宋_GB2312" w:cs="宋体"/>
          <w:kern w:val="0"/>
          <w:sz w:val="30"/>
          <w:szCs w:val="30"/>
        </w:rPr>
      </w:pPr>
      <w:r>
        <w:rPr>
          <w:rFonts w:hint="eastAsia" w:ascii="仿宋_GB2312" w:hAnsi="仿宋" w:eastAsia="仿宋_GB2312" w:cs="宋体"/>
          <w:kern w:val="0"/>
          <w:sz w:val="30"/>
          <w:szCs w:val="30"/>
        </w:rPr>
        <w:t>（四）申述及争议处理</w:t>
      </w:r>
    </w:p>
    <w:p>
      <w:pPr>
        <w:spacing w:line="520" w:lineRule="exact"/>
        <w:ind w:firstLine="560"/>
        <w:rPr>
          <w:rFonts w:ascii="仿宋_GB2312" w:hAnsi="仿宋" w:eastAsia="仿宋_GB2312" w:cs="宋体"/>
          <w:kern w:val="0"/>
          <w:sz w:val="30"/>
          <w:szCs w:val="30"/>
        </w:rPr>
      </w:pPr>
      <w:r>
        <w:rPr>
          <w:rFonts w:hint="eastAsia" w:ascii="仿宋_GB2312" w:hAnsi="仿宋" w:eastAsia="仿宋_GB2312" w:cs="宋体"/>
          <w:kern w:val="0"/>
          <w:sz w:val="30"/>
          <w:szCs w:val="30"/>
        </w:rPr>
        <w:t>对</w:t>
      </w:r>
      <w:r>
        <w:rPr>
          <w:rFonts w:hint="eastAsia" w:ascii="仿宋_GB2312" w:hAnsi="仿宋" w:eastAsia="仿宋_GB2312" w:cs="宋体"/>
          <w:kern w:val="0"/>
          <w:sz w:val="30"/>
          <w:szCs w:val="30"/>
          <w:lang w:eastAsia="zh-CN"/>
        </w:rPr>
        <w:t>人保奖学金</w:t>
      </w:r>
      <w:r>
        <w:rPr>
          <w:rFonts w:hint="eastAsia" w:ascii="仿宋_GB2312" w:hAnsi="仿宋" w:eastAsia="仿宋_GB2312" w:cs="宋体"/>
          <w:kern w:val="0"/>
          <w:sz w:val="30"/>
          <w:szCs w:val="30"/>
        </w:rPr>
        <w:t>评审结果有异议的学生及相关人员，可在公示阶段向学院评审小组提出申诉，评审小组及时研究并予以答复。如申诉人对学院评审小组作出的答复仍存在异议，可向基金会提请裁决。</w:t>
      </w:r>
    </w:p>
    <w:p>
      <w:pPr>
        <w:spacing w:line="520" w:lineRule="exact"/>
        <w:ind w:firstLine="602" w:firstLineChars="200"/>
        <w:rPr>
          <w:rFonts w:ascii="仿宋_GB2312" w:hAnsi="仿宋" w:eastAsia="仿宋_GB2312"/>
          <w:b/>
          <w:kern w:val="0"/>
          <w:sz w:val="30"/>
          <w:szCs w:val="30"/>
        </w:rPr>
      </w:pPr>
      <w:r>
        <w:rPr>
          <w:rFonts w:hint="eastAsia" w:ascii="仿宋_GB2312" w:hAnsi="仿宋" w:eastAsia="仿宋_GB2312"/>
          <w:b/>
          <w:kern w:val="0"/>
          <w:sz w:val="30"/>
          <w:szCs w:val="30"/>
        </w:rPr>
        <w:t>第七条 评奖工作要求</w:t>
      </w:r>
    </w:p>
    <w:p>
      <w:pPr>
        <w:spacing w:line="520" w:lineRule="exact"/>
        <w:ind w:firstLine="600" w:firstLineChars="200"/>
        <w:rPr>
          <w:rFonts w:ascii="仿宋_GB2312" w:hAnsi="仿宋" w:eastAsia="仿宋_GB2312"/>
          <w:kern w:val="0"/>
          <w:sz w:val="30"/>
          <w:szCs w:val="30"/>
        </w:rPr>
      </w:pPr>
      <w:r>
        <w:rPr>
          <w:rFonts w:hint="eastAsia" w:ascii="仿宋_GB2312" w:hAnsi="仿宋" w:eastAsia="仿宋_GB2312"/>
          <w:kern w:val="0"/>
          <w:sz w:val="30"/>
          <w:szCs w:val="30"/>
        </w:rPr>
        <w:t>（一）强调</w:t>
      </w:r>
      <w:r>
        <w:rPr>
          <w:rFonts w:hint="eastAsia" w:ascii="仿宋_GB2312" w:hAnsi="仿宋" w:eastAsia="仿宋_GB2312"/>
          <w:kern w:val="0"/>
          <w:sz w:val="30"/>
          <w:szCs w:val="30"/>
          <w:lang w:eastAsia="zh-CN"/>
        </w:rPr>
        <w:t>人保奖学金</w:t>
      </w:r>
      <w:r>
        <w:rPr>
          <w:rFonts w:hint="eastAsia" w:ascii="仿宋_GB2312" w:hAnsi="仿宋" w:eastAsia="仿宋_GB2312"/>
          <w:kern w:val="0"/>
          <w:sz w:val="30"/>
          <w:szCs w:val="30"/>
        </w:rPr>
        <w:t>的奖优宗旨</w:t>
      </w:r>
    </w:p>
    <w:p>
      <w:pPr>
        <w:spacing w:line="520" w:lineRule="exact"/>
        <w:ind w:firstLine="600" w:firstLineChars="200"/>
        <w:rPr>
          <w:rFonts w:ascii="仿宋_GB2312" w:hAnsi="仿宋" w:eastAsia="仿宋_GB2312"/>
          <w:kern w:val="0"/>
          <w:sz w:val="30"/>
          <w:szCs w:val="30"/>
        </w:rPr>
      </w:pPr>
      <w:r>
        <w:rPr>
          <w:rFonts w:hint="eastAsia" w:ascii="仿宋_GB2312" w:hAnsi="仿宋" w:eastAsia="仿宋_GB2312"/>
          <w:kern w:val="0"/>
          <w:sz w:val="30"/>
          <w:szCs w:val="30"/>
          <w:lang w:eastAsia="zh-CN"/>
        </w:rPr>
        <w:t>人保奖学金</w:t>
      </w:r>
      <w:r>
        <w:rPr>
          <w:rFonts w:hint="eastAsia" w:ascii="仿宋_GB2312" w:hAnsi="仿宋" w:eastAsia="仿宋_GB2312"/>
          <w:kern w:val="0"/>
          <w:sz w:val="30"/>
          <w:szCs w:val="30"/>
        </w:rPr>
        <w:t>是面向学院</w:t>
      </w:r>
      <w:r>
        <w:rPr>
          <w:rFonts w:hint="eastAsia" w:ascii="仿宋_GB2312" w:hAnsi="仿宋" w:eastAsia="仿宋_GB2312"/>
          <w:kern w:val="0"/>
          <w:sz w:val="30"/>
          <w:szCs w:val="30"/>
          <w:lang w:eastAsia="zh-CN"/>
        </w:rPr>
        <w:t>硕士新生</w:t>
      </w:r>
      <w:r>
        <w:rPr>
          <w:rFonts w:hint="eastAsia" w:ascii="仿宋_GB2312" w:hAnsi="仿宋" w:eastAsia="仿宋_GB2312"/>
          <w:kern w:val="0"/>
          <w:sz w:val="30"/>
          <w:szCs w:val="30"/>
        </w:rPr>
        <w:t>设立的金额较高的荣誉奖项，旨在大力发掘和培养优秀金融人才，培育和造就学生的钻研和创新精神。</w:t>
      </w:r>
    </w:p>
    <w:p>
      <w:pPr>
        <w:spacing w:line="520" w:lineRule="exact"/>
        <w:ind w:firstLine="600" w:firstLineChars="200"/>
        <w:rPr>
          <w:rFonts w:ascii="仿宋_GB2312" w:hAnsi="仿宋" w:eastAsia="仿宋_GB2312"/>
          <w:kern w:val="0"/>
          <w:sz w:val="30"/>
          <w:szCs w:val="30"/>
        </w:rPr>
      </w:pPr>
      <w:r>
        <w:rPr>
          <w:rFonts w:hint="eastAsia" w:ascii="仿宋_GB2312" w:hAnsi="仿宋" w:eastAsia="仿宋_GB2312"/>
          <w:kern w:val="0"/>
          <w:sz w:val="30"/>
          <w:szCs w:val="30"/>
        </w:rPr>
        <w:t>（二）充分发挥</w:t>
      </w:r>
      <w:r>
        <w:rPr>
          <w:rFonts w:hint="eastAsia" w:ascii="仿宋_GB2312" w:hAnsi="仿宋" w:eastAsia="仿宋_GB2312"/>
          <w:kern w:val="0"/>
          <w:sz w:val="30"/>
          <w:szCs w:val="30"/>
          <w:lang w:eastAsia="zh-CN"/>
        </w:rPr>
        <w:t>人保奖学金</w:t>
      </w:r>
      <w:r>
        <w:rPr>
          <w:rFonts w:hint="eastAsia" w:ascii="仿宋_GB2312" w:hAnsi="仿宋" w:eastAsia="仿宋_GB2312"/>
          <w:kern w:val="0"/>
          <w:sz w:val="30"/>
          <w:szCs w:val="30"/>
        </w:rPr>
        <w:t>的激励作用</w:t>
      </w:r>
    </w:p>
    <w:p>
      <w:pPr>
        <w:spacing w:line="520" w:lineRule="exact"/>
        <w:ind w:firstLine="600" w:firstLineChars="200"/>
        <w:rPr>
          <w:rFonts w:ascii="仿宋_GB2312" w:hAnsi="仿宋" w:eastAsia="仿宋_GB2312"/>
          <w:kern w:val="0"/>
          <w:sz w:val="30"/>
          <w:szCs w:val="30"/>
        </w:rPr>
      </w:pPr>
      <w:r>
        <w:rPr>
          <w:rFonts w:hint="eastAsia" w:ascii="仿宋_GB2312" w:hAnsi="仿宋" w:eastAsia="仿宋_GB2312"/>
          <w:kern w:val="0"/>
          <w:sz w:val="30"/>
          <w:szCs w:val="30"/>
        </w:rPr>
        <w:t>学院将广泛宣传获奖学生成长成才的典型事例，激发学生勤奋学习、专心科研、积极向上的热情。学院会通过学院网站、微信客户端、海报、条幅等多种形式，对</w:t>
      </w:r>
      <w:r>
        <w:rPr>
          <w:rFonts w:hint="eastAsia" w:ascii="仿宋_GB2312" w:hAnsi="仿宋" w:eastAsia="仿宋_GB2312"/>
          <w:kern w:val="0"/>
          <w:sz w:val="30"/>
          <w:szCs w:val="30"/>
          <w:lang w:eastAsia="zh-CN"/>
        </w:rPr>
        <w:t>人保奖学金</w:t>
      </w:r>
      <w:r>
        <w:rPr>
          <w:rFonts w:hint="eastAsia" w:ascii="仿宋_GB2312" w:hAnsi="仿宋" w:eastAsia="仿宋_GB2312"/>
          <w:kern w:val="0"/>
          <w:sz w:val="30"/>
          <w:szCs w:val="30"/>
        </w:rPr>
        <w:t>人物进行专访，通过优秀学子的先进事迹，激励更多金融学子锐意进取，为金融学科发展贡献积极力量。</w:t>
      </w:r>
    </w:p>
    <w:p>
      <w:pPr>
        <w:spacing w:line="520" w:lineRule="exact"/>
        <w:ind w:firstLine="600" w:firstLineChars="200"/>
        <w:rPr>
          <w:rFonts w:ascii="仿宋_GB2312" w:hAnsi="仿宋" w:eastAsia="仿宋_GB2312"/>
          <w:kern w:val="0"/>
          <w:sz w:val="30"/>
          <w:szCs w:val="30"/>
        </w:rPr>
      </w:pPr>
      <w:r>
        <w:rPr>
          <w:rFonts w:hint="eastAsia" w:ascii="仿宋_GB2312" w:hAnsi="仿宋" w:eastAsia="仿宋_GB2312"/>
          <w:kern w:val="0"/>
          <w:sz w:val="30"/>
          <w:szCs w:val="30"/>
        </w:rPr>
        <w:t>（三）严肃评选工作纪律，自觉抵制不正之风</w:t>
      </w:r>
    </w:p>
    <w:p>
      <w:pPr>
        <w:spacing w:line="520" w:lineRule="exact"/>
        <w:ind w:firstLine="600" w:firstLineChars="200"/>
        <w:rPr>
          <w:rFonts w:ascii="仿宋_GB2312" w:hAnsi="仿宋" w:eastAsia="仿宋_GB2312"/>
          <w:kern w:val="0"/>
          <w:sz w:val="30"/>
          <w:szCs w:val="30"/>
        </w:rPr>
      </w:pPr>
      <w:r>
        <w:rPr>
          <w:rFonts w:hint="eastAsia" w:ascii="仿宋_GB2312" w:hAnsi="仿宋" w:eastAsia="仿宋_GB2312"/>
          <w:kern w:val="0"/>
          <w:sz w:val="30"/>
          <w:szCs w:val="30"/>
        </w:rPr>
        <w:t>学院会公平、公正、公开、择优做好</w:t>
      </w:r>
      <w:r>
        <w:rPr>
          <w:rFonts w:hint="eastAsia" w:ascii="仿宋_GB2312" w:hAnsi="仿宋" w:eastAsia="仿宋_GB2312"/>
          <w:kern w:val="0"/>
          <w:sz w:val="30"/>
          <w:szCs w:val="30"/>
          <w:lang w:eastAsia="zh-CN"/>
        </w:rPr>
        <w:t>人保奖学金</w:t>
      </w:r>
      <w:r>
        <w:rPr>
          <w:rFonts w:hint="eastAsia" w:ascii="仿宋_GB2312" w:hAnsi="仿宋" w:eastAsia="仿宋_GB2312"/>
          <w:kern w:val="0"/>
          <w:sz w:val="30"/>
          <w:szCs w:val="30"/>
        </w:rPr>
        <w:t>评选工作。要严格按照规定程序组织实施评选和推荐工作，创新工作形式、严把评审标准、确保获奖学生的质量。</w:t>
      </w:r>
      <w:bookmarkEnd w:id="16"/>
      <w:bookmarkStart w:id="17" w:name="_Toc278887264"/>
      <w:bookmarkStart w:id="18" w:name="_Toc278740737"/>
      <w:bookmarkStart w:id="19" w:name="_Toc278830627"/>
      <w:bookmarkStart w:id="20" w:name="_Toc278906555"/>
      <w:bookmarkStart w:id="21" w:name="_Toc278888460"/>
    </w:p>
    <w:p>
      <w:pPr>
        <w:spacing w:line="520" w:lineRule="exact"/>
        <w:jc w:val="center"/>
        <w:rPr>
          <w:rFonts w:ascii="仿宋_GB2312" w:hAnsi="仿宋" w:eastAsia="仿宋_GB2312"/>
          <w:b/>
          <w:kern w:val="0"/>
          <w:sz w:val="30"/>
          <w:szCs w:val="30"/>
        </w:rPr>
      </w:pPr>
    </w:p>
    <w:p>
      <w:pPr>
        <w:spacing w:line="520" w:lineRule="exact"/>
        <w:jc w:val="center"/>
        <w:rPr>
          <w:rFonts w:ascii="仿宋_GB2312" w:hAnsi="仿宋" w:eastAsia="仿宋_GB2312"/>
          <w:b/>
          <w:kern w:val="0"/>
          <w:sz w:val="30"/>
          <w:szCs w:val="30"/>
        </w:rPr>
      </w:pPr>
      <w:r>
        <w:rPr>
          <w:rFonts w:hint="eastAsia" w:ascii="仿宋_GB2312" w:hAnsi="仿宋" w:eastAsia="仿宋_GB2312"/>
          <w:b/>
          <w:kern w:val="0"/>
          <w:sz w:val="30"/>
          <w:szCs w:val="30"/>
        </w:rPr>
        <w:t>第五章 附 则</w:t>
      </w:r>
      <w:bookmarkEnd w:id="17"/>
      <w:bookmarkEnd w:id="18"/>
      <w:bookmarkEnd w:id="19"/>
      <w:bookmarkEnd w:id="20"/>
      <w:bookmarkEnd w:id="21"/>
      <w:bookmarkStart w:id="22" w:name="BM17"/>
    </w:p>
    <w:bookmarkEnd w:id="22"/>
    <w:p>
      <w:pPr>
        <w:spacing w:line="520" w:lineRule="exact"/>
        <w:ind w:firstLine="602" w:firstLineChars="200"/>
        <w:rPr>
          <w:rFonts w:ascii="仿宋_GB2312" w:hAnsi="仿宋" w:eastAsia="仿宋_GB2312"/>
          <w:smallCaps/>
          <w:kern w:val="0"/>
          <w:sz w:val="30"/>
          <w:szCs w:val="30"/>
        </w:rPr>
      </w:pPr>
      <w:r>
        <w:rPr>
          <w:rFonts w:hint="eastAsia" w:ascii="仿宋_GB2312" w:hAnsi="仿宋" w:eastAsia="仿宋_GB2312"/>
          <w:b/>
          <w:kern w:val="0"/>
          <w:sz w:val="30"/>
          <w:szCs w:val="30"/>
        </w:rPr>
        <w:t>第</w:t>
      </w:r>
      <w:r>
        <w:rPr>
          <w:rFonts w:hint="eastAsia" w:ascii="仿宋_GB2312" w:hAnsi="仿宋"/>
          <w:b/>
          <w:kern w:val="0"/>
          <w:sz w:val="30"/>
          <w:szCs w:val="30"/>
        </w:rPr>
        <w:t>八</w:t>
      </w:r>
      <w:r>
        <w:rPr>
          <w:rFonts w:hint="eastAsia" w:ascii="仿宋_GB2312" w:hAnsi="仿宋" w:eastAsia="仿宋_GB2312"/>
          <w:b/>
          <w:kern w:val="0"/>
          <w:sz w:val="30"/>
          <w:szCs w:val="30"/>
        </w:rPr>
        <w:t xml:space="preserve">条 </w:t>
      </w:r>
      <w:r>
        <w:rPr>
          <w:rFonts w:hint="eastAsia" w:ascii="仿宋_GB2312" w:hAnsi="仿宋" w:eastAsia="仿宋_GB2312" w:cs="宋体"/>
          <w:smallCaps/>
          <w:kern w:val="0"/>
          <w:sz w:val="30"/>
          <w:szCs w:val="30"/>
        </w:rPr>
        <w:t>本办法由金融学院</w:t>
      </w:r>
      <w:r>
        <w:rPr>
          <w:rFonts w:hint="eastAsia" w:ascii="仿宋_GB2312" w:hAnsi="仿宋" w:eastAsia="仿宋_GB2312" w:cs="宋体"/>
          <w:smallCaps/>
          <w:kern w:val="0"/>
          <w:sz w:val="30"/>
          <w:szCs w:val="30"/>
          <w:lang w:eastAsia="zh-CN"/>
        </w:rPr>
        <w:t>人保奖学金</w:t>
      </w:r>
      <w:r>
        <w:rPr>
          <w:rFonts w:hint="eastAsia" w:ascii="仿宋_GB2312" w:hAnsi="仿宋" w:eastAsia="仿宋_GB2312" w:cs="宋体"/>
          <w:smallCaps/>
          <w:kern w:val="0"/>
          <w:sz w:val="30"/>
          <w:szCs w:val="30"/>
        </w:rPr>
        <w:t>评审小组负责解释。</w:t>
      </w:r>
    </w:p>
    <w:p>
      <w:pPr>
        <w:spacing w:line="520" w:lineRule="exact"/>
        <w:ind w:firstLine="602" w:firstLineChars="200"/>
        <w:rPr>
          <w:rFonts w:ascii="仿宋_GB2312" w:hAnsi="仿宋" w:eastAsia="仿宋_GB2312"/>
          <w:sz w:val="30"/>
          <w:szCs w:val="30"/>
        </w:rPr>
      </w:pPr>
      <w:r>
        <w:rPr>
          <w:rFonts w:hint="eastAsia" w:ascii="仿宋_GB2312" w:hAnsi="仿宋" w:eastAsia="仿宋_GB2312"/>
          <w:b/>
          <w:kern w:val="0"/>
          <w:sz w:val="30"/>
          <w:szCs w:val="30"/>
        </w:rPr>
        <w:t>第</w:t>
      </w:r>
      <w:r>
        <w:rPr>
          <w:rFonts w:hint="eastAsia" w:ascii="仿宋_GB2312" w:hAnsi="仿宋"/>
          <w:b/>
          <w:kern w:val="0"/>
          <w:sz w:val="30"/>
          <w:szCs w:val="30"/>
        </w:rPr>
        <w:t>九</w:t>
      </w:r>
      <w:r>
        <w:rPr>
          <w:rFonts w:hint="eastAsia" w:ascii="仿宋_GB2312" w:hAnsi="仿宋" w:eastAsia="仿宋_GB2312"/>
          <w:b/>
          <w:kern w:val="0"/>
          <w:sz w:val="30"/>
          <w:szCs w:val="30"/>
        </w:rPr>
        <w:t xml:space="preserve">条 </w:t>
      </w:r>
      <w:r>
        <w:rPr>
          <w:rFonts w:hint="eastAsia" w:ascii="仿宋_GB2312" w:hAnsi="仿宋" w:eastAsia="仿宋_GB2312" w:cs="宋体"/>
          <w:smallCaps/>
          <w:kern w:val="0"/>
          <w:sz w:val="30"/>
          <w:szCs w:val="30"/>
        </w:rPr>
        <w:t>本办法的解释权和修订权属于金融学院</w:t>
      </w:r>
      <w:r>
        <w:rPr>
          <w:rFonts w:hint="eastAsia" w:ascii="仿宋_GB2312" w:hAnsi="仿宋" w:eastAsia="仿宋_GB2312" w:cs="宋体"/>
          <w:smallCaps/>
          <w:kern w:val="0"/>
          <w:sz w:val="30"/>
          <w:szCs w:val="30"/>
          <w:lang w:eastAsia="zh-CN"/>
        </w:rPr>
        <w:t>人保奖学金</w:t>
      </w:r>
      <w:r>
        <w:rPr>
          <w:rFonts w:hint="eastAsia" w:ascii="仿宋_GB2312" w:hAnsi="仿宋" w:eastAsia="仿宋_GB2312" w:cs="宋体"/>
          <w:smallCaps/>
          <w:kern w:val="0"/>
          <w:sz w:val="30"/>
          <w:szCs w:val="30"/>
        </w:rPr>
        <w:t>评审小组。</w:t>
      </w:r>
    </w:p>
    <w:p>
      <w:pPr>
        <w:spacing w:line="520" w:lineRule="exact"/>
        <w:ind w:right="300" w:firstLine="600" w:firstLineChars="200"/>
        <w:jc w:val="right"/>
        <w:rPr>
          <w:rFonts w:ascii="仿宋_GB2312" w:hAnsi="仿宋" w:eastAsia="仿宋_GB2312"/>
          <w:sz w:val="30"/>
          <w:szCs w:val="30"/>
        </w:rPr>
      </w:pPr>
      <w:r>
        <w:rPr>
          <w:rFonts w:hint="eastAsia" w:ascii="仿宋_GB2312" w:hAnsi="仿宋" w:eastAsia="仿宋_GB2312"/>
          <w:sz w:val="30"/>
          <w:szCs w:val="30"/>
        </w:rPr>
        <w:t>金融学院</w:t>
      </w:r>
    </w:p>
    <w:p>
      <w:pPr>
        <w:spacing w:line="520" w:lineRule="exact"/>
        <w:ind w:right="300" w:firstLine="600" w:firstLineChars="200"/>
        <w:jc w:val="right"/>
        <w:rPr>
          <w:rFonts w:ascii="仿宋_GB2312" w:hAnsi="仿宋" w:eastAsia="仿宋_GB2312"/>
          <w:sz w:val="30"/>
          <w:szCs w:val="30"/>
        </w:rPr>
      </w:pPr>
      <w:r>
        <w:rPr>
          <w:rFonts w:hint="eastAsia" w:ascii="仿宋_GB2312" w:hAnsi="仿宋" w:eastAsia="仿宋_GB2312"/>
          <w:sz w:val="30"/>
          <w:szCs w:val="30"/>
        </w:rPr>
        <w:t>　　  201</w:t>
      </w:r>
      <w:r>
        <w:rPr>
          <w:rFonts w:hint="eastAsia" w:ascii="仿宋_GB2312" w:hAnsi="仿宋" w:eastAsia="仿宋_GB2312"/>
          <w:sz w:val="30"/>
          <w:szCs w:val="30"/>
          <w:lang w:val="en-US" w:eastAsia="zh-CN"/>
        </w:rPr>
        <w:t>9</w:t>
      </w:r>
      <w:r>
        <w:rPr>
          <w:rFonts w:hint="eastAsia" w:ascii="仿宋_GB2312" w:hAnsi="仿宋" w:eastAsia="仿宋_GB2312"/>
          <w:sz w:val="30"/>
          <w:szCs w:val="30"/>
        </w:rPr>
        <w:t>年</w:t>
      </w:r>
      <w:r>
        <w:rPr>
          <w:rFonts w:hint="eastAsia" w:ascii="仿宋_GB2312" w:hAnsi="仿宋" w:eastAsia="仿宋_GB2312"/>
          <w:sz w:val="30"/>
          <w:szCs w:val="30"/>
          <w:lang w:val="en-US" w:eastAsia="zh-CN"/>
        </w:rPr>
        <w:t>11</w:t>
      </w:r>
      <w:r>
        <w:rPr>
          <w:rFonts w:hint="eastAsia" w:ascii="仿宋_GB2312" w:hAnsi="仿宋" w:eastAsia="仿宋_GB2312"/>
          <w:sz w:val="30"/>
          <w:szCs w:val="30"/>
        </w:rPr>
        <w:t>月</w:t>
      </w:r>
      <w:r>
        <w:rPr>
          <w:rFonts w:hint="eastAsia" w:ascii="仿宋_GB2312" w:hAnsi="仿宋" w:eastAsia="仿宋_GB2312"/>
          <w:sz w:val="30"/>
          <w:szCs w:val="30"/>
          <w:lang w:val="en-US" w:eastAsia="zh-CN"/>
        </w:rPr>
        <w:t>9</w:t>
      </w:r>
      <w:r>
        <w:rPr>
          <w:rFonts w:hint="eastAsia" w:ascii="仿宋_GB2312" w:hAnsi="仿宋" w:eastAsia="仿宋_GB2312"/>
          <w:sz w:val="30"/>
          <w:szCs w:val="30"/>
        </w:rPr>
        <w:t xml:space="preserve">日 </w:t>
      </w:r>
    </w:p>
    <w:p>
      <w:pPr>
        <w:widowControl/>
        <w:jc w:val="left"/>
        <w:rPr>
          <w:rFonts w:ascii="仿宋_GB2312" w:hAnsi="仿宋"/>
          <w:sz w:val="30"/>
          <w:szCs w:val="30"/>
        </w:rPr>
      </w:pPr>
      <w:r>
        <w:rPr>
          <w:rFonts w:ascii="仿宋_GB2312" w:hAnsi="仿宋"/>
          <w:sz w:val="30"/>
          <w:szCs w:val="30"/>
        </w:rPr>
        <w:br w:type="page"/>
      </w:r>
    </w:p>
    <w:p>
      <w:pPr>
        <w:spacing w:line="360" w:lineRule="auto"/>
        <w:jc w:val="center"/>
        <w:rPr>
          <w:rFonts w:ascii="宋体" w:hAnsi="宋体"/>
          <w:b/>
          <w:sz w:val="18"/>
          <w:szCs w:val="18"/>
        </w:rPr>
      </w:pPr>
      <w:r>
        <w:rPr>
          <w:rFonts w:hint="eastAsia" w:ascii="宋体" w:hAnsi="宋体"/>
          <w:b/>
          <w:sz w:val="18"/>
          <w:szCs w:val="18"/>
        </w:rPr>
        <w:t>附件1：金融学院201</w:t>
      </w:r>
      <w:r>
        <w:rPr>
          <w:rFonts w:hint="eastAsia" w:ascii="宋体" w:hAnsi="宋体"/>
          <w:b/>
          <w:sz w:val="18"/>
          <w:szCs w:val="18"/>
          <w:lang w:val="en-US" w:eastAsia="zh-CN"/>
        </w:rPr>
        <w:t>9</w:t>
      </w:r>
      <w:r>
        <w:rPr>
          <w:rFonts w:hint="eastAsia" w:ascii="宋体" w:hAnsi="宋体"/>
          <w:b/>
          <w:sz w:val="18"/>
          <w:szCs w:val="18"/>
        </w:rPr>
        <w:t>年</w:t>
      </w:r>
      <w:r>
        <w:rPr>
          <w:rFonts w:hint="eastAsia" w:ascii="宋体" w:hAnsi="宋体"/>
          <w:b/>
          <w:sz w:val="18"/>
          <w:szCs w:val="18"/>
          <w:lang w:eastAsia="zh-CN"/>
        </w:rPr>
        <w:t>“中国人保奖学金”</w:t>
      </w:r>
      <w:r>
        <w:rPr>
          <w:rFonts w:hint="eastAsia" w:ascii="宋体" w:hAnsi="宋体"/>
          <w:b/>
          <w:sz w:val="18"/>
          <w:szCs w:val="18"/>
        </w:rPr>
        <w:t>评定科研成果计算标准</w:t>
      </w:r>
    </w:p>
    <w:tbl>
      <w:tblPr>
        <w:tblStyle w:val="11"/>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1418"/>
        <w:gridCol w:w="708"/>
        <w:gridCol w:w="851"/>
        <w:gridCol w:w="709"/>
        <w:gridCol w:w="708"/>
        <w:gridCol w:w="3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92" w:type="dxa"/>
            <w:shd w:val="clear" w:color="auto" w:fill="auto"/>
            <w:vAlign w:val="center"/>
          </w:tcPr>
          <w:p>
            <w:pPr>
              <w:spacing w:line="288" w:lineRule="auto"/>
              <w:jc w:val="center"/>
              <w:rPr>
                <w:rFonts w:ascii="宋体" w:hAnsi="宋体"/>
                <w:b/>
                <w:bCs/>
                <w:sz w:val="18"/>
                <w:szCs w:val="18"/>
              </w:rPr>
            </w:pPr>
            <w:r>
              <w:rPr>
                <w:rFonts w:hint="eastAsia" w:ascii="宋体" w:hAnsi="宋体"/>
                <w:b/>
                <w:bCs/>
                <w:sz w:val="18"/>
                <w:szCs w:val="18"/>
              </w:rPr>
              <w:t>成果类型</w:t>
            </w:r>
          </w:p>
        </w:tc>
        <w:tc>
          <w:tcPr>
            <w:tcW w:w="1418" w:type="dxa"/>
            <w:shd w:val="clear" w:color="auto" w:fill="auto"/>
            <w:vAlign w:val="center"/>
          </w:tcPr>
          <w:p>
            <w:pPr>
              <w:spacing w:line="288" w:lineRule="auto"/>
              <w:jc w:val="center"/>
              <w:rPr>
                <w:rFonts w:ascii="宋体" w:hAnsi="宋体"/>
                <w:b/>
                <w:bCs/>
                <w:sz w:val="18"/>
                <w:szCs w:val="18"/>
              </w:rPr>
            </w:pPr>
            <w:r>
              <w:rPr>
                <w:rFonts w:hint="eastAsia" w:ascii="宋体" w:hAnsi="宋体"/>
                <w:b/>
                <w:bCs/>
                <w:sz w:val="18"/>
                <w:szCs w:val="18"/>
              </w:rPr>
              <w:t>成果细目</w:t>
            </w:r>
          </w:p>
        </w:tc>
        <w:tc>
          <w:tcPr>
            <w:tcW w:w="708" w:type="dxa"/>
            <w:shd w:val="clear" w:color="auto" w:fill="auto"/>
            <w:vAlign w:val="center"/>
          </w:tcPr>
          <w:p>
            <w:pPr>
              <w:spacing w:line="288" w:lineRule="auto"/>
              <w:jc w:val="center"/>
              <w:rPr>
                <w:rFonts w:ascii="宋体" w:hAnsi="宋体"/>
                <w:b/>
                <w:bCs/>
                <w:sz w:val="18"/>
                <w:szCs w:val="18"/>
              </w:rPr>
            </w:pPr>
            <w:r>
              <w:rPr>
                <w:rFonts w:hint="eastAsia" w:ascii="宋体" w:hAnsi="宋体"/>
                <w:b/>
                <w:bCs/>
                <w:sz w:val="18"/>
                <w:szCs w:val="18"/>
              </w:rPr>
              <w:t>独立</w:t>
            </w:r>
          </w:p>
          <w:p>
            <w:pPr>
              <w:spacing w:line="288" w:lineRule="auto"/>
              <w:jc w:val="center"/>
              <w:rPr>
                <w:rFonts w:ascii="宋体" w:hAnsi="宋体"/>
                <w:b/>
                <w:bCs/>
                <w:sz w:val="18"/>
                <w:szCs w:val="18"/>
              </w:rPr>
            </w:pPr>
            <w:r>
              <w:rPr>
                <w:rFonts w:hint="eastAsia" w:ascii="宋体" w:hAnsi="宋体"/>
                <w:b/>
                <w:bCs/>
                <w:sz w:val="18"/>
                <w:szCs w:val="18"/>
              </w:rPr>
              <w:t>作者</w:t>
            </w:r>
          </w:p>
        </w:tc>
        <w:tc>
          <w:tcPr>
            <w:tcW w:w="851" w:type="dxa"/>
            <w:shd w:val="clear" w:color="auto" w:fill="auto"/>
            <w:vAlign w:val="center"/>
          </w:tcPr>
          <w:p>
            <w:pPr>
              <w:spacing w:line="288" w:lineRule="auto"/>
              <w:jc w:val="center"/>
              <w:rPr>
                <w:rFonts w:ascii="宋体" w:hAnsi="宋体"/>
                <w:b/>
                <w:bCs/>
                <w:sz w:val="18"/>
                <w:szCs w:val="18"/>
              </w:rPr>
            </w:pPr>
            <w:r>
              <w:rPr>
                <w:rFonts w:hint="eastAsia" w:ascii="宋体" w:hAnsi="宋体"/>
                <w:b/>
                <w:bCs/>
                <w:sz w:val="18"/>
                <w:szCs w:val="18"/>
              </w:rPr>
              <w:t>第一或</w:t>
            </w:r>
          </w:p>
          <w:p>
            <w:pPr>
              <w:spacing w:line="288" w:lineRule="auto"/>
              <w:jc w:val="center"/>
              <w:rPr>
                <w:rFonts w:ascii="宋体" w:hAnsi="宋体"/>
                <w:b/>
                <w:bCs/>
                <w:sz w:val="18"/>
                <w:szCs w:val="18"/>
              </w:rPr>
            </w:pPr>
            <w:r>
              <w:rPr>
                <w:rFonts w:hint="eastAsia" w:ascii="宋体" w:hAnsi="宋体"/>
                <w:b/>
                <w:bCs/>
                <w:sz w:val="18"/>
                <w:szCs w:val="18"/>
              </w:rPr>
              <w:t>通讯作者</w:t>
            </w:r>
          </w:p>
        </w:tc>
        <w:tc>
          <w:tcPr>
            <w:tcW w:w="709" w:type="dxa"/>
            <w:shd w:val="clear" w:color="auto" w:fill="auto"/>
            <w:vAlign w:val="center"/>
          </w:tcPr>
          <w:p>
            <w:pPr>
              <w:spacing w:line="288" w:lineRule="auto"/>
              <w:jc w:val="center"/>
              <w:rPr>
                <w:rFonts w:ascii="宋体" w:hAnsi="宋体"/>
                <w:b/>
                <w:bCs/>
                <w:sz w:val="18"/>
                <w:szCs w:val="18"/>
              </w:rPr>
            </w:pPr>
            <w:r>
              <w:rPr>
                <w:rFonts w:hint="eastAsia" w:ascii="宋体" w:hAnsi="宋体"/>
                <w:b/>
                <w:bCs/>
                <w:sz w:val="18"/>
                <w:szCs w:val="18"/>
              </w:rPr>
              <w:t>第二作者</w:t>
            </w:r>
          </w:p>
        </w:tc>
        <w:tc>
          <w:tcPr>
            <w:tcW w:w="708" w:type="dxa"/>
            <w:shd w:val="clear" w:color="auto" w:fill="auto"/>
            <w:vAlign w:val="center"/>
          </w:tcPr>
          <w:p>
            <w:pPr>
              <w:spacing w:line="288" w:lineRule="auto"/>
              <w:jc w:val="center"/>
              <w:rPr>
                <w:rFonts w:ascii="宋体" w:hAnsi="宋体"/>
                <w:b/>
                <w:bCs/>
                <w:sz w:val="18"/>
                <w:szCs w:val="18"/>
              </w:rPr>
            </w:pPr>
            <w:r>
              <w:rPr>
                <w:rFonts w:hint="eastAsia" w:ascii="宋体" w:hAnsi="宋体"/>
                <w:b/>
                <w:bCs/>
                <w:sz w:val="18"/>
                <w:szCs w:val="18"/>
              </w:rPr>
              <w:t>第三作者</w:t>
            </w:r>
          </w:p>
        </w:tc>
        <w:tc>
          <w:tcPr>
            <w:tcW w:w="3586" w:type="dxa"/>
            <w:shd w:val="clear" w:color="auto" w:fill="auto"/>
          </w:tcPr>
          <w:p>
            <w:pPr>
              <w:spacing w:line="288" w:lineRule="auto"/>
              <w:jc w:val="center"/>
              <w:rPr>
                <w:rFonts w:ascii="宋体" w:hAnsi="宋体"/>
                <w:b/>
                <w:bCs/>
                <w:sz w:val="18"/>
                <w:szCs w:val="18"/>
              </w:rPr>
            </w:pPr>
            <w:r>
              <w:rPr>
                <w:rFonts w:hint="eastAsia" w:ascii="宋体" w:hAnsi="宋体"/>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92" w:type="dxa"/>
            <w:vMerge w:val="restart"/>
            <w:shd w:val="clear" w:color="auto" w:fill="auto"/>
            <w:vAlign w:val="center"/>
          </w:tcPr>
          <w:p>
            <w:pPr>
              <w:spacing w:line="288" w:lineRule="auto"/>
              <w:jc w:val="center"/>
              <w:rPr>
                <w:rFonts w:ascii="宋体" w:hAnsi="宋体"/>
                <w:b/>
                <w:bCs/>
                <w:sz w:val="18"/>
                <w:szCs w:val="18"/>
              </w:rPr>
            </w:pPr>
            <w:r>
              <w:rPr>
                <w:rFonts w:hint="eastAsia" w:ascii="宋体" w:hAnsi="宋体"/>
                <w:b/>
                <w:bCs/>
                <w:sz w:val="18"/>
                <w:szCs w:val="18"/>
              </w:rPr>
              <w:t>出版专著</w:t>
            </w:r>
          </w:p>
        </w:tc>
        <w:tc>
          <w:tcPr>
            <w:tcW w:w="1418"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外文专著</w:t>
            </w:r>
          </w:p>
        </w:tc>
        <w:tc>
          <w:tcPr>
            <w:tcW w:w="708" w:type="dxa"/>
            <w:shd w:val="clear" w:color="auto" w:fill="auto"/>
            <w:vAlign w:val="center"/>
          </w:tcPr>
          <w:p>
            <w:pPr>
              <w:spacing w:line="288" w:lineRule="auto"/>
              <w:jc w:val="center"/>
              <w:rPr>
                <w:rFonts w:ascii="宋体" w:hAnsi="宋体"/>
                <w:sz w:val="18"/>
                <w:szCs w:val="18"/>
              </w:rPr>
            </w:pPr>
            <w:r>
              <w:rPr>
                <w:rFonts w:ascii="宋体" w:hAnsi="宋体"/>
                <w:sz w:val="18"/>
                <w:szCs w:val="18"/>
              </w:rPr>
              <w:t>15</w:t>
            </w:r>
          </w:p>
        </w:tc>
        <w:tc>
          <w:tcPr>
            <w:tcW w:w="851" w:type="dxa"/>
            <w:shd w:val="clear" w:color="auto" w:fill="auto"/>
            <w:vAlign w:val="center"/>
          </w:tcPr>
          <w:p>
            <w:pPr>
              <w:spacing w:line="288" w:lineRule="auto"/>
              <w:jc w:val="center"/>
              <w:rPr>
                <w:rFonts w:ascii="宋体" w:hAnsi="宋体"/>
                <w:sz w:val="18"/>
                <w:szCs w:val="18"/>
              </w:rPr>
            </w:pPr>
            <w:r>
              <w:rPr>
                <w:rFonts w:ascii="宋体" w:hAnsi="宋体"/>
                <w:sz w:val="18"/>
                <w:szCs w:val="18"/>
              </w:rPr>
              <w:t>12</w:t>
            </w:r>
          </w:p>
        </w:tc>
        <w:tc>
          <w:tcPr>
            <w:tcW w:w="709" w:type="dxa"/>
            <w:shd w:val="clear" w:color="auto" w:fill="auto"/>
            <w:vAlign w:val="center"/>
          </w:tcPr>
          <w:p>
            <w:pPr>
              <w:spacing w:line="288" w:lineRule="auto"/>
              <w:jc w:val="center"/>
              <w:rPr>
                <w:rFonts w:ascii="宋体" w:hAnsi="宋体"/>
                <w:sz w:val="18"/>
                <w:szCs w:val="18"/>
              </w:rPr>
            </w:pPr>
            <w:r>
              <w:rPr>
                <w:rFonts w:ascii="宋体" w:hAnsi="宋体"/>
                <w:sz w:val="18"/>
                <w:szCs w:val="18"/>
              </w:rPr>
              <w:t>9</w:t>
            </w:r>
          </w:p>
        </w:tc>
        <w:tc>
          <w:tcPr>
            <w:tcW w:w="708"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6</w:t>
            </w:r>
          </w:p>
        </w:tc>
        <w:tc>
          <w:tcPr>
            <w:tcW w:w="3586" w:type="dxa"/>
            <w:vMerge w:val="restart"/>
            <w:shd w:val="clear" w:color="auto" w:fill="auto"/>
          </w:tcPr>
          <w:p>
            <w:pPr>
              <w:pStyle w:val="24"/>
              <w:spacing w:line="288" w:lineRule="auto"/>
              <w:jc w:val="both"/>
              <w:rPr>
                <w:rFonts w:hint="default" w:ascii="宋体" w:hAnsi="宋体" w:eastAsia="宋体"/>
                <w:color w:val="auto"/>
                <w:kern w:val="2"/>
                <w:sz w:val="18"/>
                <w:szCs w:val="18"/>
              </w:rPr>
            </w:pPr>
            <w:r>
              <w:rPr>
                <w:rFonts w:ascii="宋体" w:hAnsi="宋体" w:eastAsia="宋体"/>
                <w:color w:val="auto"/>
                <w:kern w:val="2"/>
                <w:sz w:val="18"/>
                <w:szCs w:val="18"/>
              </w:rPr>
              <w:t>编写著作按照封面作者排序认定：导师</w:t>
            </w:r>
          </w:p>
          <w:p>
            <w:pPr>
              <w:pStyle w:val="24"/>
              <w:spacing w:line="288" w:lineRule="auto"/>
              <w:jc w:val="both"/>
              <w:rPr>
                <w:rFonts w:hint="default" w:ascii="宋体" w:hAnsi="宋体" w:eastAsia="宋体"/>
                <w:color w:val="auto"/>
                <w:kern w:val="2"/>
                <w:sz w:val="18"/>
                <w:szCs w:val="18"/>
              </w:rPr>
            </w:pPr>
          </w:p>
          <w:p>
            <w:pPr>
              <w:pStyle w:val="24"/>
              <w:spacing w:line="288" w:lineRule="auto"/>
              <w:jc w:val="both"/>
              <w:rPr>
                <w:rFonts w:hint="default" w:ascii="宋体" w:hAnsi="宋体" w:eastAsia="宋体"/>
                <w:color w:val="auto"/>
                <w:kern w:val="2"/>
                <w:sz w:val="18"/>
                <w:szCs w:val="18"/>
              </w:rPr>
            </w:pPr>
          </w:p>
          <w:p>
            <w:pPr>
              <w:pStyle w:val="24"/>
              <w:spacing w:line="288" w:lineRule="auto"/>
              <w:jc w:val="both"/>
              <w:rPr>
                <w:rFonts w:hint="default" w:ascii="宋体" w:hAnsi="宋体" w:eastAsia="宋体"/>
                <w:color w:val="auto"/>
                <w:kern w:val="2"/>
                <w:sz w:val="18"/>
                <w:szCs w:val="18"/>
              </w:rPr>
            </w:pPr>
          </w:p>
          <w:p>
            <w:pPr>
              <w:pStyle w:val="24"/>
              <w:spacing w:line="288" w:lineRule="auto"/>
              <w:jc w:val="both"/>
              <w:rPr>
                <w:rFonts w:hint="default" w:ascii="宋体" w:hAnsi="宋体"/>
                <w:color w:val="auto"/>
                <w:sz w:val="18"/>
                <w:szCs w:val="18"/>
              </w:rPr>
            </w:pPr>
            <w:r>
              <w:rPr>
                <w:rFonts w:ascii="宋体" w:hAnsi="宋体" w:eastAsia="宋体"/>
                <w:color w:val="auto"/>
                <w:kern w:val="2"/>
                <w:sz w:val="18"/>
                <w:szCs w:val="18"/>
              </w:rPr>
              <w:t>作为第一作者，学生作为第二作者，得分按照第一作者计算。如果封面没有显示参与的作者，则按照序言或后记中提供的作者名单，不再区分作者排序，统一按照英文6分、中文3分。译著编著1分计算。</w:t>
            </w:r>
            <w:r>
              <w:rPr>
                <w:color w:val="auto"/>
                <w:sz w:val="18"/>
                <w:szCs w:val="18"/>
              </w:rPr>
              <w:t xml:space="preserve"> </w:t>
            </w:r>
          </w:p>
          <w:p>
            <w:pPr>
              <w:pStyle w:val="24"/>
              <w:spacing w:line="288" w:lineRule="auto"/>
              <w:jc w:val="both"/>
              <w:rPr>
                <w:rFonts w:hint="default" w:ascii="宋体" w:hAnsi="宋体"/>
                <w:color w:val="auto"/>
                <w:sz w:val="18"/>
                <w:szCs w:val="18"/>
              </w:rPr>
            </w:pPr>
            <w:r>
              <w:rPr>
                <w:rFonts w:ascii="宋体" w:hAnsi="宋体" w:eastAsia="宋体"/>
                <w:color w:val="auto"/>
                <w:kern w:val="2"/>
                <w:sz w:val="18"/>
                <w:szCs w:val="18"/>
              </w:rPr>
              <w:t>著作需提供样书、封面、版权页，以及含作者信息页面的复印件。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092" w:type="dxa"/>
            <w:vMerge w:val="continue"/>
            <w:shd w:val="clear" w:color="auto" w:fill="auto"/>
            <w:vAlign w:val="center"/>
          </w:tcPr>
          <w:p>
            <w:pPr>
              <w:spacing w:line="288" w:lineRule="auto"/>
              <w:jc w:val="center"/>
              <w:rPr>
                <w:rFonts w:ascii="宋体" w:hAnsi="宋体"/>
                <w:b/>
                <w:bCs/>
                <w:sz w:val="18"/>
                <w:szCs w:val="18"/>
              </w:rPr>
            </w:pPr>
          </w:p>
        </w:tc>
        <w:tc>
          <w:tcPr>
            <w:tcW w:w="1418"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中文专著</w:t>
            </w:r>
          </w:p>
        </w:tc>
        <w:tc>
          <w:tcPr>
            <w:tcW w:w="708"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10</w:t>
            </w:r>
          </w:p>
        </w:tc>
        <w:tc>
          <w:tcPr>
            <w:tcW w:w="851"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8</w:t>
            </w:r>
          </w:p>
        </w:tc>
        <w:tc>
          <w:tcPr>
            <w:tcW w:w="709"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6</w:t>
            </w:r>
          </w:p>
        </w:tc>
        <w:tc>
          <w:tcPr>
            <w:tcW w:w="708"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4</w:t>
            </w:r>
          </w:p>
        </w:tc>
        <w:tc>
          <w:tcPr>
            <w:tcW w:w="3586" w:type="dxa"/>
            <w:vMerge w:val="continue"/>
            <w:shd w:val="clear" w:color="auto" w:fill="auto"/>
          </w:tcPr>
          <w:p>
            <w:pPr>
              <w:spacing w:line="288"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92" w:type="dxa"/>
            <w:vMerge w:val="continue"/>
            <w:shd w:val="clear" w:color="auto" w:fill="auto"/>
            <w:vAlign w:val="center"/>
          </w:tcPr>
          <w:p>
            <w:pPr>
              <w:spacing w:line="288" w:lineRule="auto"/>
              <w:jc w:val="center"/>
              <w:rPr>
                <w:rFonts w:ascii="宋体" w:hAnsi="宋体"/>
                <w:b/>
                <w:bCs/>
                <w:sz w:val="18"/>
                <w:szCs w:val="18"/>
              </w:rPr>
            </w:pPr>
          </w:p>
        </w:tc>
        <w:tc>
          <w:tcPr>
            <w:tcW w:w="1418"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译著编著</w:t>
            </w:r>
          </w:p>
        </w:tc>
        <w:tc>
          <w:tcPr>
            <w:tcW w:w="708"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8</w:t>
            </w:r>
          </w:p>
        </w:tc>
        <w:tc>
          <w:tcPr>
            <w:tcW w:w="851"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6</w:t>
            </w:r>
          </w:p>
        </w:tc>
        <w:tc>
          <w:tcPr>
            <w:tcW w:w="709"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4</w:t>
            </w:r>
          </w:p>
        </w:tc>
        <w:tc>
          <w:tcPr>
            <w:tcW w:w="708"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2</w:t>
            </w:r>
          </w:p>
        </w:tc>
        <w:tc>
          <w:tcPr>
            <w:tcW w:w="3586" w:type="dxa"/>
            <w:vMerge w:val="continue"/>
            <w:shd w:val="clear" w:color="auto" w:fill="auto"/>
          </w:tcPr>
          <w:p>
            <w:pPr>
              <w:spacing w:line="288"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92" w:type="dxa"/>
            <w:vMerge w:val="restart"/>
            <w:shd w:val="clear" w:color="auto" w:fill="auto"/>
            <w:vAlign w:val="center"/>
          </w:tcPr>
          <w:p>
            <w:pPr>
              <w:spacing w:line="288" w:lineRule="auto"/>
              <w:jc w:val="center"/>
              <w:rPr>
                <w:rFonts w:ascii="宋体" w:hAnsi="宋体"/>
                <w:b/>
                <w:sz w:val="18"/>
                <w:szCs w:val="18"/>
              </w:rPr>
            </w:pPr>
            <w:r>
              <w:rPr>
                <w:rFonts w:hint="eastAsia" w:ascii="宋体" w:hAnsi="宋体"/>
                <w:b/>
                <w:sz w:val="18"/>
                <w:szCs w:val="18"/>
              </w:rPr>
              <w:t>发表论文</w:t>
            </w:r>
          </w:p>
        </w:tc>
        <w:tc>
          <w:tcPr>
            <w:tcW w:w="1418"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中文AAA类</w:t>
            </w:r>
          </w:p>
        </w:tc>
        <w:tc>
          <w:tcPr>
            <w:tcW w:w="708"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30</w:t>
            </w:r>
          </w:p>
        </w:tc>
        <w:tc>
          <w:tcPr>
            <w:tcW w:w="851"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24</w:t>
            </w:r>
          </w:p>
        </w:tc>
        <w:tc>
          <w:tcPr>
            <w:tcW w:w="709"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18</w:t>
            </w:r>
          </w:p>
        </w:tc>
        <w:tc>
          <w:tcPr>
            <w:tcW w:w="708"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12</w:t>
            </w:r>
          </w:p>
        </w:tc>
        <w:tc>
          <w:tcPr>
            <w:tcW w:w="3586" w:type="dxa"/>
            <w:vMerge w:val="restart"/>
            <w:shd w:val="clear" w:color="auto" w:fill="auto"/>
          </w:tcPr>
          <w:p>
            <w:pPr>
              <w:pStyle w:val="24"/>
              <w:spacing w:line="288" w:lineRule="auto"/>
              <w:jc w:val="both"/>
              <w:rPr>
                <w:rFonts w:hint="default" w:ascii="宋体" w:hAnsi="宋体" w:eastAsia="宋体"/>
                <w:color w:val="auto"/>
                <w:kern w:val="2"/>
                <w:sz w:val="18"/>
                <w:szCs w:val="18"/>
              </w:rPr>
            </w:pPr>
            <w:r>
              <w:rPr>
                <w:rFonts w:ascii="宋体" w:hAnsi="宋体" w:eastAsia="宋体"/>
                <w:color w:val="auto"/>
                <w:kern w:val="2"/>
                <w:sz w:val="18"/>
                <w:szCs w:val="18"/>
              </w:rPr>
              <w:t>第一作者包括导师第一，本人第二，以下同。</w:t>
            </w:r>
          </w:p>
          <w:p>
            <w:pPr>
              <w:spacing w:line="288" w:lineRule="auto"/>
              <w:rPr>
                <w:rFonts w:ascii="宋体" w:hAnsi="宋体"/>
                <w:sz w:val="18"/>
                <w:szCs w:val="18"/>
              </w:rPr>
            </w:pPr>
            <w:r>
              <w:rPr>
                <w:rFonts w:hint="eastAsia" w:ascii="宋体" w:hAnsi="宋体"/>
                <w:sz w:val="18"/>
                <w:szCs w:val="18"/>
              </w:rPr>
              <w:t xml:space="preserve">发表论文需要提供期刊封面、目录页及作者论文正文复印件，并提供样刊，样刊审核后退回本人。尚未收到论文样刊的作者，提供论文排版后的复印件进行认定。会议论文提供入选通知与会议议程。英文期刊论文的通讯作者，视同为第一作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92" w:type="dxa"/>
            <w:vMerge w:val="continue"/>
            <w:shd w:val="clear" w:color="auto" w:fill="auto"/>
            <w:vAlign w:val="center"/>
          </w:tcPr>
          <w:p>
            <w:pPr>
              <w:spacing w:line="288" w:lineRule="auto"/>
              <w:jc w:val="center"/>
              <w:rPr>
                <w:rFonts w:ascii="宋体" w:hAnsi="宋体"/>
                <w:sz w:val="18"/>
                <w:szCs w:val="18"/>
              </w:rPr>
            </w:pPr>
          </w:p>
        </w:tc>
        <w:tc>
          <w:tcPr>
            <w:tcW w:w="1418"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中文AA类</w:t>
            </w:r>
          </w:p>
        </w:tc>
        <w:tc>
          <w:tcPr>
            <w:tcW w:w="708"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20</w:t>
            </w:r>
          </w:p>
        </w:tc>
        <w:tc>
          <w:tcPr>
            <w:tcW w:w="851"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16</w:t>
            </w:r>
          </w:p>
        </w:tc>
        <w:tc>
          <w:tcPr>
            <w:tcW w:w="709"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12</w:t>
            </w:r>
          </w:p>
        </w:tc>
        <w:tc>
          <w:tcPr>
            <w:tcW w:w="708"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8</w:t>
            </w:r>
          </w:p>
        </w:tc>
        <w:tc>
          <w:tcPr>
            <w:tcW w:w="3586" w:type="dxa"/>
            <w:vMerge w:val="continue"/>
            <w:shd w:val="clear" w:color="auto" w:fill="auto"/>
          </w:tcPr>
          <w:p>
            <w:pPr>
              <w:spacing w:line="288"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92" w:type="dxa"/>
            <w:vMerge w:val="continue"/>
            <w:shd w:val="clear" w:color="auto" w:fill="auto"/>
            <w:vAlign w:val="center"/>
          </w:tcPr>
          <w:p>
            <w:pPr>
              <w:spacing w:line="288" w:lineRule="auto"/>
              <w:jc w:val="center"/>
              <w:rPr>
                <w:rFonts w:ascii="宋体" w:hAnsi="宋体"/>
                <w:sz w:val="18"/>
                <w:szCs w:val="18"/>
              </w:rPr>
            </w:pPr>
          </w:p>
        </w:tc>
        <w:tc>
          <w:tcPr>
            <w:tcW w:w="1418"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中文A类</w:t>
            </w:r>
          </w:p>
        </w:tc>
        <w:tc>
          <w:tcPr>
            <w:tcW w:w="708"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10</w:t>
            </w:r>
          </w:p>
        </w:tc>
        <w:tc>
          <w:tcPr>
            <w:tcW w:w="851"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8</w:t>
            </w:r>
          </w:p>
        </w:tc>
        <w:tc>
          <w:tcPr>
            <w:tcW w:w="709"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6</w:t>
            </w:r>
          </w:p>
        </w:tc>
        <w:tc>
          <w:tcPr>
            <w:tcW w:w="708"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4</w:t>
            </w:r>
          </w:p>
        </w:tc>
        <w:tc>
          <w:tcPr>
            <w:tcW w:w="3586" w:type="dxa"/>
            <w:vMerge w:val="continue"/>
            <w:shd w:val="clear" w:color="auto" w:fill="auto"/>
          </w:tcPr>
          <w:p>
            <w:pPr>
              <w:spacing w:line="288"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92" w:type="dxa"/>
            <w:vMerge w:val="continue"/>
            <w:shd w:val="clear" w:color="auto" w:fill="auto"/>
            <w:vAlign w:val="center"/>
          </w:tcPr>
          <w:p>
            <w:pPr>
              <w:spacing w:line="288" w:lineRule="auto"/>
              <w:jc w:val="center"/>
              <w:rPr>
                <w:rFonts w:ascii="宋体" w:hAnsi="宋体"/>
                <w:sz w:val="18"/>
                <w:szCs w:val="18"/>
              </w:rPr>
            </w:pPr>
          </w:p>
        </w:tc>
        <w:tc>
          <w:tcPr>
            <w:tcW w:w="1418"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中文B类</w:t>
            </w:r>
          </w:p>
        </w:tc>
        <w:tc>
          <w:tcPr>
            <w:tcW w:w="708"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8</w:t>
            </w:r>
          </w:p>
        </w:tc>
        <w:tc>
          <w:tcPr>
            <w:tcW w:w="851"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6</w:t>
            </w:r>
          </w:p>
        </w:tc>
        <w:tc>
          <w:tcPr>
            <w:tcW w:w="709"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4</w:t>
            </w:r>
          </w:p>
        </w:tc>
        <w:tc>
          <w:tcPr>
            <w:tcW w:w="708"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2</w:t>
            </w:r>
          </w:p>
        </w:tc>
        <w:tc>
          <w:tcPr>
            <w:tcW w:w="3586" w:type="dxa"/>
            <w:vMerge w:val="continue"/>
            <w:shd w:val="clear" w:color="auto" w:fill="auto"/>
          </w:tcPr>
          <w:p>
            <w:pPr>
              <w:spacing w:line="288"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092" w:type="dxa"/>
            <w:vMerge w:val="continue"/>
            <w:shd w:val="clear" w:color="auto" w:fill="auto"/>
            <w:vAlign w:val="center"/>
          </w:tcPr>
          <w:p>
            <w:pPr>
              <w:spacing w:line="288" w:lineRule="auto"/>
              <w:jc w:val="center"/>
              <w:rPr>
                <w:rFonts w:ascii="宋体" w:hAnsi="宋体"/>
                <w:sz w:val="18"/>
                <w:szCs w:val="18"/>
              </w:rPr>
            </w:pPr>
          </w:p>
        </w:tc>
        <w:tc>
          <w:tcPr>
            <w:tcW w:w="1418" w:type="dxa"/>
            <w:shd w:val="clear" w:color="auto" w:fill="auto"/>
            <w:vAlign w:val="center"/>
          </w:tcPr>
          <w:p>
            <w:pPr>
              <w:widowControl/>
              <w:spacing w:line="288" w:lineRule="auto"/>
              <w:jc w:val="center"/>
              <w:rPr>
                <w:rFonts w:ascii="宋体" w:hAnsi="宋体"/>
                <w:sz w:val="18"/>
                <w:szCs w:val="18"/>
              </w:rPr>
            </w:pPr>
            <w:r>
              <w:rPr>
                <w:rFonts w:hint="eastAsia" w:ascii="宋体" w:hAnsi="宋体"/>
                <w:sz w:val="18"/>
                <w:szCs w:val="18"/>
              </w:rPr>
              <w:t>中文C类</w:t>
            </w:r>
          </w:p>
        </w:tc>
        <w:tc>
          <w:tcPr>
            <w:tcW w:w="708" w:type="dxa"/>
            <w:shd w:val="clear" w:color="auto" w:fill="auto"/>
            <w:vAlign w:val="center"/>
          </w:tcPr>
          <w:p>
            <w:pPr>
              <w:widowControl/>
              <w:spacing w:line="288" w:lineRule="auto"/>
              <w:jc w:val="center"/>
              <w:rPr>
                <w:rFonts w:ascii="宋体" w:hAnsi="宋体"/>
                <w:sz w:val="18"/>
                <w:szCs w:val="18"/>
              </w:rPr>
            </w:pPr>
            <w:r>
              <w:rPr>
                <w:rFonts w:ascii="宋体" w:hAnsi="宋体"/>
                <w:sz w:val="18"/>
                <w:szCs w:val="18"/>
              </w:rPr>
              <w:t>4</w:t>
            </w:r>
          </w:p>
        </w:tc>
        <w:tc>
          <w:tcPr>
            <w:tcW w:w="851" w:type="dxa"/>
            <w:shd w:val="clear" w:color="auto" w:fill="auto"/>
            <w:vAlign w:val="center"/>
          </w:tcPr>
          <w:p>
            <w:pPr>
              <w:widowControl/>
              <w:spacing w:line="288" w:lineRule="auto"/>
              <w:jc w:val="center"/>
              <w:rPr>
                <w:rFonts w:ascii="宋体" w:hAnsi="宋体"/>
                <w:sz w:val="18"/>
                <w:szCs w:val="18"/>
              </w:rPr>
            </w:pPr>
            <w:r>
              <w:rPr>
                <w:rFonts w:ascii="宋体" w:hAnsi="宋体"/>
                <w:sz w:val="18"/>
                <w:szCs w:val="18"/>
              </w:rPr>
              <w:t>2</w:t>
            </w:r>
          </w:p>
        </w:tc>
        <w:tc>
          <w:tcPr>
            <w:tcW w:w="709" w:type="dxa"/>
            <w:shd w:val="clear" w:color="auto" w:fill="auto"/>
            <w:vAlign w:val="center"/>
          </w:tcPr>
          <w:p>
            <w:pPr>
              <w:widowControl/>
              <w:spacing w:line="288" w:lineRule="auto"/>
              <w:jc w:val="center"/>
              <w:rPr>
                <w:rFonts w:ascii="宋体" w:hAnsi="宋体"/>
                <w:sz w:val="18"/>
                <w:szCs w:val="18"/>
              </w:rPr>
            </w:pPr>
            <w:r>
              <w:rPr>
                <w:rFonts w:ascii="宋体" w:hAnsi="宋体"/>
                <w:sz w:val="18"/>
                <w:szCs w:val="18"/>
              </w:rPr>
              <w:t>1</w:t>
            </w:r>
          </w:p>
        </w:tc>
        <w:tc>
          <w:tcPr>
            <w:tcW w:w="708" w:type="dxa"/>
            <w:shd w:val="clear" w:color="auto" w:fill="auto"/>
            <w:vAlign w:val="center"/>
          </w:tcPr>
          <w:p>
            <w:pPr>
              <w:widowControl/>
              <w:spacing w:line="288" w:lineRule="auto"/>
              <w:jc w:val="center"/>
              <w:rPr>
                <w:rFonts w:ascii="宋体" w:hAnsi="宋体"/>
                <w:sz w:val="18"/>
                <w:szCs w:val="18"/>
              </w:rPr>
            </w:pPr>
            <w:r>
              <w:rPr>
                <w:rFonts w:ascii="宋体" w:hAnsi="宋体"/>
                <w:sz w:val="18"/>
                <w:szCs w:val="18"/>
              </w:rPr>
              <w:t>0.5</w:t>
            </w:r>
          </w:p>
        </w:tc>
        <w:tc>
          <w:tcPr>
            <w:tcW w:w="3586" w:type="dxa"/>
            <w:vMerge w:val="continue"/>
            <w:shd w:val="clear" w:color="auto" w:fill="auto"/>
          </w:tcPr>
          <w:p>
            <w:pPr>
              <w:spacing w:line="288"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92" w:type="dxa"/>
            <w:vMerge w:val="continue"/>
            <w:shd w:val="clear" w:color="auto" w:fill="auto"/>
            <w:vAlign w:val="center"/>
          </w:tcPr>
          <w:p>
            <w:pPr>
              <w:spacing w:line="288" w:lineRule="auto"/>
              <w:jc w:val="center"/>
              <w:rPr>
                <w:rFonts w:ascii="宋体" w:hAnsi="宋体"/>
                <w:b/>
                <w:bCs/>
                <w:sz w:val="18"/>
                <w:szCs w:val="18"/>
              </w:rPr>
            </w:pPr>
          </w:p>
        </w:tc>
        <w:tc>
          <w:tcPr>
            <w:tcW w:w="1418"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英文会议论文</w:t>
            </w:r>
          </w:p>
        </w:tc>
        <w:tc>
          <w:tcPr>
            <w:tcW w:w="708"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8</w:t>
            </w:r>
          </w:p>
        </w:tc>
        <w:tc>
          <w:tcPr>
            <w:tcW w:w="851"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6</w:t>
            </w:r>
          </w:p>
        </w:tc>
        <w:tc>
          <w:tcPr>
            <w:tcW w:w="709"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4</w:t>
            </w:r>
          </w:p>
        </w:tc>
        <w:tc>
          <w:tcPr>
            <w:tcW w:w="708"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2</w:t>
            </w:r>
          </w:p>
        </w:tc>
        <w:tc>
          <w:tcPr>
            <w:tcW w:w="3586" w:type="dxa"/>
            <w:vMerge w:val="continue"/>
            <w:shd w:val="clear" w:color="auto" w:fill="auto"/>
          </w:tcPr>
          <w:p>
            <w:pPr>
              <w:spacing w:line="288"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92" w:type="dxa"/>
            <w:vMerge w:val="continue"/>
            <w:shd w:val="clear" w:color="auto" w:fill="auto"/>
            <w:vAlign w:val="center"/>
          </w:tcPr>
          <w:p>
            <w:pPr>
              <w:spacing w:line="288" w:lineRule="auto"/>
              <w:jc w:val="center"/>
              <w:rPr>
                <w:rFonts w:ascii="宋体" w:hAnsi="宋体"/>
                <w:b/>
                <w:bCs/>
                <w:sz w:val="18"/>
                <w:szCs w:val="18"/>
              </w:rPr>
            </w:pPr>
          </w:p>
        </w:tc>
        <w:tc>
          <w:tcPr>
            <w:tcW w:w="1418"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中文会议论文</w:t>
            </w:r>
          </w:p>
        </w:tc>
        <w:tc>
          <w:tcPr>
            <w:tcW w:w="708"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6</w:t>
            </w:r>
          </w:p>
        </w:tc>
        <w:tc>
          <w:tcPr>
            <w:tcW w:w="851"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4</w:t>
            </w:r>
          </w:p>
        </w:tc>
        <w:tc>
          <w:tcPr>
            <w:tcW w:w="709"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2</w:t>
            </w:r>
          </w:p>
        </w:tc>
        <w:tc>
          <w:tcPr>
            <w:tcW w:w="708"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0</w:t>
            </w:r>
          </w:p>
        </w:tc>
        <w:tc>
          <w:tcPr>
            <w:tcW w:w="3586" w:type="dxa"/>
            <w:vMerge w:val="continue"/>
            <w:shd w:val="clear" w:color="auto" w:fill="auto"/>
          </w:tcPr>
          <w:p>
            <w:pPr>
              <w:spacing w:line="288"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092" w:type="dxa"/>
            <w:vMerge w:val="restart"/>
            <w:shd w:val="clear" w:color="auto" w:fill="auto"/>
            <w:vAlign w:val="center"/>
          </w:tcPr>
          <w:p>
            <w:pPr>
              <w:spacing w:line="288" w:lineRule="auto"/>
              <w:jc w:val="center"/>
              <w:rPr>
                <w:rFonts w:ascii="宋体" w:hAnsi="宋体"/>
                <w:b/>
                <w:bCs/>
                <w:sz w:val="18"/>
                <w:szCs w:val="18"/>
              </w:rPr>
            </w:pPr>
            <w:r>
              <w:rPr>
                <w:rFonts w:hint="eastAsia" w:ascii="宋体" w:hAnsi="宋体"/>
                <w:b/>
                <w:bCs/>
                <w:sz w:val="18"/>
                <w:szCs w:val="18"/>
              </w:rPr>
              <w:t>专业案例</w:t>
            </w:r>
          </w:p>
        </w:tc>
        <w:tc>
          <w:tcPr>
            <w:tcW w:w="1418" w:type="dxa"/>
            <w:shd w:val="clear" w:color="auto" w:fill="auto"/>
            <w:vAlign w:val="center"/>
          </w:tcPr>
          <w:p>
            <w:pPr>
              <w:spacing w:line="288" w:lineRule="auto"/>
              <w:jc w:val="center"/>
              <w:rPr>
                <w:rFonts w:ascii="宋体" w:hAnsi="宋体"/>
                <w:b/>
                <w:sz w:val="18"/>
                <w:szCs w:val="18"/>
              </w:rPr>
            </w:pPr>
            <w:r>
              <w:rPr>
                <w:rFonts w:hint="eastAsia" w:ascii="宋体" w:hAnsi="宋体"/>
                <w:b/>
                <w:sz w:val="18"/>
                <w:szCs w:val="18"/>
              </w:rPr>
              <w:t>级别/类型</w:t>
            </w:r>
          </w:p>
        </w:tc>
        <w:tc>
          <w:tcPr>
            <w:tcW w:w="708" w:type="dxa"/>
            <w:shd w:val="clear" w:color="auto" w:fill="auto"/>
            <w:vAlign w:val="center"/>
          </w:tcPr>
          <w:p>
            <w:pPr>
              <w:spacing w:line="288" w:lineRule="auto"/>
              <w:jc w:val="center"/>
              <w:rPr>
                <w:rFonts w:ascii="宋体" w:hAnsi="宋体"/>
                <w:b/>
                <w:bCs/>
                <w:sz w:val="18"/>
                <w:szCs w:val="18"/>
              </w:rPr>
            </w:pPr>
            <w:r>
              <w:rPr>
                <w:rFonts w:hint="eastAsia" w:ascii="宋体" w:hAnsi="宋体"/>
                <w:b/>
                <w:bCs/>
                <w:sz w:val="18"/>
                <w:szCs w:val="18"/>
              </w:rPr>
              <w:t>国家级</w:t>
            </w:r>
          </w:p>
        </w:tc>
        <w:tc>
          <w:tcPr>
            <w:tcW w:w="851" w:type="dxa"/>
            <w:shd w:val="clear" w:color="auto" w:fill="auto"/>
            <w:vAlign w:val="center"/>
          </w:tcPr>
          <w:p>
            <w:pPr>
              <w:spacing w:line="288" w:lineRule="auto"/>
              <w:jc w:val="center"/>
              <w:rPr>
                <w:rFonts w:ascii="宋体" w:hAnsi="宋体"/>
                <w:b/>
                <w:bCs/>
                <w:sz w:val="18"/>
                <w:szCs w:val="18"/>
              </w:rPr>
            </w:pPr>
            <w:r>
              <w:rPr>
                <w:rFonts w:hint="eastAsia" w:ascii="宋体" w:hAnsi="宋体"/>
                <w:b/>
                <w:bCs/>
                <w:sz w:val="18"/>
                <w:szCs w:val="18"/>
              </w:rPr>
              <w:t>省部级</w:t>
            </w:r>
          </w:p>
        </w:tc>
        <w:tc>
          <w:tcPr>
            <w:tcW w:w="709" w:type="dxa"/>
            <w:shd w:val="clear" w:color="auto" w:fill="auto"/>
            <w:vAlign w:val="center"/>
          </w:tcPr>
          <w:p>
            <w:pPr>
              <w:spacing w:line="288" w:lineRule="auto"/>
              <w:jc w:val="center"/>
              <w:rPr>
                <w:rFonts w:ascii="宋体" w:hAnsi="宋体"/>
                <w:b/>
                <w:bCs/>
                <w:sz w:val="18"/>
                <w:szCs w:val="18"/>
              </w:rPr>
            </w:pPr>
            <w:r>
              <w:rPr>
                <w:rFonts w:hint="eastAsia" w:ascii="宋体" w:hAnsi="宋体"/>
                <w:b/>
                <w:bCs/>
                <w:sz w:val="18"/>
                <w:szCs w:val="18"/>
              </w:rPr>
              <w:t>校级</w:t>
            </w:r>
          </w:p>
        </w:tc>
        <w:tc>
          <w:tcPr>
            <w:tcW w:w="708" w:type="dxa"/>
            <w:shd w:val="clear" w:color="auto" w:fill="auto"/>
            <w:vAlign w:val="center"/>
          </w:tcPr>
          <w:p>
            <w:pPr>
              <w:spacing w:line="288" w:lineRule="auto"/>
              <w:jc w:val="center"/>
              <w:rPr>
                <w:rFonts w:ascii="宋体" w:hAnsi="宋体"/>
                <w:b/>
                <w:bCs/>
                <w:sz w:val="18"/>
                <w:szCs w:val="18"/>
              </w:rPr>
            </w:pPr>
          </w:p>
        </w:tc>
        <w:tc>
          <w:tcPr>
            <w:tcW w:w="3586" w:type="dxa"/>
            <w:vMerge w:val="restart"/>
            <w:shd w:val="clear" w:color="auto" w:fill="auto"/>
          </w:tcPr>
          <w:p>
            <w:pPr>
              <w:pStyle w:val="24"/>
              <w:spacing w:line="288" w:lineRule="auto"/>
              <w:jc w:val="both"/>
              <w:rPr>
                <w:rFonts w:hint="default" w:ascii="宋体" w:hAnsi="宋体"/>
                <w:color w:val="auto"/>
                <w:sz w:val="18"/>
                <w:szCs w:val="18"/>
              </w:rPr>
            </w:pPr>
            <w:r>
              <w:rPr>
                <w:rFonts w:ascii="宋体" w:hAnsi="宋体" w:eastAsia="宋体"/>
                <w:color w:val="auto"/>
                <w:kern w:val="2"/>
                <w:sz w:val="18"/>
                <w:szCs w:val="18"/>
              </w:rPr>
              <w:t xml:space="preserve">专业学位案例包括MBA金融类案例、金融专硕案例；全国金融专硕教指委和全国MBA案例中心入选的案例视同为国家级案例，获得学校推荐到教指委未能入库的案例视同为省部级案例；MBA中心和学院组织的案例征文入选案例视同为校级案例。发表在正式出版期刊或案例集的案例，基础分值也为8分（视同为B类论文，如果发表期刊列入我校核心期刊目录，则按照相应分类给分）。入选与发表若为同一篇案例，不重复计算，只按照最高分计算一次。注：导师为第一作者，学生为第二作者，学生按照基础分值计算；第三作者及其他作者，按照基础分值的50%计算。金融专硕案例证明由学院研究生工作办提供；MBA案例需要提供相应的证书或书面证明。有获奖证书的案例可以不提供入选证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092" w:type="dxa"/>
            <w:vMerge w:val="continue"/>
            <w:shd w:val="clear" w:color="auto" w:fill="auto"/>
            <w:vAlign w:val="center"/>
          </w:tcPr>
          <w:p>
            <w:pPr>
              <w:spacing w:line="288" w:lineRule="auto"/>
              <w:jc w:val="center"/>
              <w:rPr>
                <w:rFonts w:ascii="宋体" w:hAnsi="宋体"/>
                <w:b/>
                <w:bCs/>
                <w:sz w:val="18"/>
                <w:szCs w:val="18"/>
              </w:rPr>
            </w:pPr>
          </w:p>
        </w:tc>
        <w:tc>
          <w:tcPr>
            <w:tcW w:w="1418"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案例入选</w:t>
            </w:r>
          </w:p>
          <w:p>
            <w:pPr>
              <w:spacing w:line="288" w:lineRule="auto"/>
              <w:jc w:val="center"/>
              <w:rPr>
                <w:rFonts w:ascii="宋体" w:hAnsi="宋体"/>
                <w:sz w:val="18"/>
                <w:szCs w:val="18"/>
              </w:rPr>
            </w:pPr>
            <w:r>
              <w:rPr>
                <w:rFonts w:hint="eastAsia" w:ascii="宋体" w:hAnsi="宋体"/>
                <w:sz w:val="18"/>
                <w:szCs w:val="18"/>
              </w:rPr>
              <w:t>或</w:t>
            </w:r>
            <w:r>
              <w:rPr>
                <w:rFonts w:ascii="宋体" w:hAnsi="宋体"/>
                <w:sz w:val="18"/>
                <w:szCs w:val="18"/>
              </w:rPr>
              <w:t>发表</w:t>
            </w:r>
          </w:p>
        </w:tc>
        <w:tc>
          <w:tcPr>
            <w:tcW w:w="708"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10</w:t>
            </w:r>
          </w:p>
        </w:tc>
        <w:tc>
          <w:tcPr>
            <w:tcW w:w="851"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8</w:t>
            </w:r>
          </w:p>
        </w:tc>
        <w:tc>
          <w:tcPr>
            <w:tcW w:w="709"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6</w:t>
            </w:r>
          </w:p>
        </w:tc>
        <w:tc>
          <w:tcPr>
            <w:tcW w:w="708" w:type="dxa"/>
            <w:shd w:val="clear" w:color="auto" w:fill="auto"/>
            <w:vAlign w:val="center"/>
          </w:tcPr>
          <w:p>
            <w:pPr>
              <w:spacing w:line="288" w:lineRule="auto"/>
              <w:jc w:val="center"/>
              <w:rPr>
                <w:rFonts w:ascii="宋体" w:hAnsi="宋体"/>
                <w:sz w:val="18"/>
                <w:szCs w:val="18"/>
              </w:rPr>
            </w:pPr>
          </w:p>
        </w:tc>
        <w:tc>
          <w:tcPr>
            <w:tcW w:w="3586" w:type="dxa"/>
            <w:vMerge w:val="continue"/>
            <w:shd w:val="clear" w:color="auto" w:fill="auto"/>
          </w:tcPr>
          <w:p>
            <w:pPr>
              <w:spacing w:line="288"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092" w:type="dxa"/>
            <w:vMerge w:val="continue"/>
            <w:shd w:val="clear" w:color="auto" w:fill="auto"/>
            <w:vAlign w:val="center"/>
          </w:tcPr>
          <w:p>
            <w:pPr>
              <w:spacing w:line="288" w:lineRule="auto"/>
              <w:jc w:val="center"/>
              <w:rPr>
                <w:rFonts w:ascii="宋体" w:hAnsi="宋体"/>
                <w:b/>
                <w:bCs/>
                <w:sz w:val="18"/>
                <w:szCs w:val="18"/>
              </w:rPr>
            </w:pPr>
          </w:p>
        </w:tc>
        <w:tc>
          <w:tcPr>
            <w:tcW w:w="1418" w:type="dxa"/>
            <w:shd w:val="clear" w:color="auto" w:fill="auto"/>
            <w:vAlign w:val="center"/>
          </w:tcPr>
          <w:p>
            <w:pPr>
              <w:spacing w:line="288" w:lineRule="auto"/>
              <w:jc w:val="center"/>
              <w:rPr>
                <w:rFonts w:ascii="宋体" w:hAnsi="宋体"/>
                <w:sz w:val="18"/>
                <w:szCs w:val="18"/>
              </w:rPr>
            </w:pPr>
          </w:p>
          <w:p>
            <w:pPr>
              <w:spacing w:line="288" w:lineRule="auto"/>
              <w:rPr>
                <w:rFonts w:ascii="宋体" w:hAnsi="宋体"/>
                <w:sz w:val="18"/>
                <w:szCs w:val="18"/>
              </w:rPr>
            </w:pPr>
            <w:r>
              <w:rPr>
                <w:rFonts w:hint="eastAsia" w:ascii="宋体" w:hAnsi="宋体"/>
                <w:sz w:val="18"/>
                <w:szCs w:val="18"/>
              </w:rPr>
              <w:t>案例获奖</w:t>
            </w:r>
          </w:p>
        </w:tc>
        <w:tc>
          <w:tcPr>
            <w:tcW w:w="708" w:type="dxa"/>
            <w:shd w:val="clear" w:color="auto" w:fill="auto"/>
            <w:vAlign w:val="center"/>
          </w:tcPr>
          <w:p>
            <w:pPr>
              <w:spacing w:line="288" w:lineRule="auto"/>
              <w:jc w:val="center"/>
              <w:rPr>
                <w:rFonts w:ascii="宋体" w:hAnsi="宋体"/>
                <w:sz w:val="18"/>
                <w:szCs w:val="18"/>
              </w:rPr>
            </w:pPr>
          </w:p>
          <w:p>
            <w:pPr>
              <w:spacing w:line="288" w:lineRule="auto"/>
              <w:jc w:val="center"/>
              <w:rPr>
                <w:rFonts w:ascii="宋体" w:hAnsi="宋体"/>
                <w:sz w:val="18"/>
                <w:szCs w:val="18"/>
              </w:rPr>
            </w:pPr>
            <w:r>
              <w:rPr>
                <w:rFonts w:hint="eastAsia" w:ascii="宋体" w:hAnsi="宋体"/>
                <w:sz w:val="18"/>
                <w:szCs w:val="18"/>
              </w:rPr>
              <w:t>10</w:t>
            </w:r>
          </w:p>
        </w:tc>
        <w:tc>
          <w:tcPr>
            <w:tcW w:w="851" w:type="dxa"/>
            <w:shd w:val="clear" w:color="auto" w:fill="auto"/>
            <w:vAlign w:val="center"/>
          </w:tcPr>
          <w:p>
            <w:pPr>
              <w:spacing w:line="288" w:lineRule="auto"/>
              <w:jc w:val="center"/>
              <w:rPr>
                <w:rFonts w:ascii="宋体" w:hAnsi="宋体"/>
                <w:sz w:val="18"/>
                <w:szCs w:val="18"/>
              </w:rPr>
            </w:pPr>
          </w:p>
          <w:p>
            <w:pPr>
              <w:spacing w:line="288" w:lineRule="auto"/>
              <w:jc w:val="center"/>
              <w:rPr>
                <w:rFonts w:ascii="宋体" w:hAnsi="宋体"/>
                <w:sz w:val="18"/>
                <w:szCs w:val="18"/>
              </w:rPr>
            </w:pPr>
            <w:r>
              <w:rPr>
                <w:rFonts w:hint="eastAsia" w:ascii="宋体" w:hAnsi="宋体"/>
                <w:sz w:val="18"/>
                <w:szCs w:val="18"/>
              </w:rPr>
              <w:t>8</w:t>
            </w:r>
          </w:p>
        </w:tc>
        <w:tc>
          <w:tcPr>
            <w:tcW w:w="709" w:type="dxa"/>
            <w:shd w:val="clear" w:color="auto" w:fill="auto"/>
            <w:vAlign w:val="center"/>
          </w:tcPr>
          <w:p>
            <w:pPr>
              <w:spacing w:line="288" w:lineRule="auto"/>
              <w:jc w:val="center"/>
              <w:rPr>
                <w:rFonts w:ascii="宋体" w:hAnsi="宋体"/>
                <w:sz w:val="18"/>
                <w:szCs w:val="18"/>
              </w:rPr>
            </w:pPr>
          </w:p>
          <w:p>
            <w:pPr>
              <w:spacing w:line="288" w:lineRule="auto"/>
              <w:jc w:val="center"/>
              <w:rPr>
                <w:rFonts w:ascii="宋体" w:hAnsi="宋体"/>
                <w:sz w:val="18"/>
                <w:szCs w:val="18"/>
              </w:rPr>
            </w:pPr>
            <w:r>
              <w:rPr>
                <w:rFonts w:hint="eastAsia" w:ascii="宋体" w:hAnsi="宋体"/>
                <w:sz w:val="18"/>
                <w:szCs w:val="18"/>
              </w:rPr>
              <w:t>6</w:t>
            </w:r>
          </w:p>
        </w:tc>
        <w:tc>
          <w:tcPr>
            <w:tcW w:w="708" w:type="dxa"/>
            <w:shd w:val="clear" w:color="auto" w:fill="auto"/>
            <w:vAlign w:val="center"/>
          </w:tcPr>
          <w:p>
            <w:pPr>
              <w:spacing w:line="288" w:lineRule="auto"/>
              <w:jc w:val="center"/>
              <w:rPr>
                <w:rFonts w:ascii="宋体" w:hAnsi="宋体"/>
                <w:sz w:val="18"/>
                <w:szCs w:val="18"/>
              </w:rPr>
            </w:pPr>
          </w:p>
        </w:tc>
        <w:tc>
          <w:tcPr>
            <w:tcW w:w="3586" w:type="dxa"/>
            <w:vMerge w:val="continue"/>
            <w:shd w:val="clear" w:color="auto" w:fill="auto"/>
          </w:tcPr>
          <w:p>
            <w:pPr>
              <w:spacing w:line="288"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9" w:hRule="atLeast"/>
          <w:jc w:val="center"/>
        </w:trPr>
        <w:tc>
          <w:tcPr>
            <w:tcW w:w="1092" w:type="dxa"/>
            <w:shd w:val="clear" w:color="auto" w:fill="auto"/>
            <w:vAlign w:val="center"/>
          </w:tcPr>
          <w:p>
            <w:pPr>
              <w:spacing w:line="288" w:lineRule="auto"/>
              <w:ind w:firstLine="90" w:firstLineChars="50"/>
              <w:rPr>
                <w:rFonts w:ascii="宋体" w:hAnsi="宋体"/>
                <w:b/>
                <w:bCs/>
                <w:sz w:val="18"/>
                <w:szCs w:val="18"/>
              </w:rPr>
            </w:pPr>
            <w:r>
              <w:rPr>
                <w:rFonts w:hint="eastAsia" w:ascii="宋体" w:hAnsi="宋体"/>
                <w:b/>
                <w:bCs/>
                <w:sz w:val="18"/>
                <w:szCs w:val="18"/>
              </w:rPr>
              <w:t>科研获奖</w:t>
            </w:r>
          </w:p>
        </w:tc>
        <w:tc>
          <w:tcPr>
            <w:tcW w:w="1418"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论文或专著</w:t>
            </w:r>
          </w:p>
          <w:p>
            <w:pPr>
              <w:spacing w:line="288" w:lineRule="auto"/>
              <w:jc w:val="center"/>
              <w:rPr>
                <w:rFonts w:ascii="宋体" w:hAnsi="宋体"/>
                <w:sz w:val="18"/>
                <w:szCs w:val="18"/>
              </w:rPr>
            </w:pPr>
            <w:r>
              <w:rPr>
                <w:rFonts w:hint="eastAsia" w:ascii="宋体" w:hAnsi="宋体"/>
                <w:sz w:val="18"/>
                <w:szCs w:val="18"/>
              </w:rPr>
              <w:t>获奖</w:t>
            </w:r>
          </w:p>
        </w:tc>
        <w:tc>
          <w:tcPr>
            <w:tcW w:w="708"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10</w:t>
            </w:r>
          </w:p>
        </w:tc>
        <w:tc>
          <w:tcPr>
            <w:tcW w:w="851" w:type="dxa"/>
            <w:shd w:val="clear" w:color="auto" w:fill="auto"/>
            <w:vAlign w:val="center"/>
          </w:tcPr>
          <w:p>
            <w:pPr>
              <w:spacing w:line="288" w:lineRule="auto"/>
              <w:ind w:firstLine="270" w:firstLineChars="150"/>
              <w:rPr>
                <w:rFonts w:ascii="宋体" w:hAnsi="宋体"/>
                <w:sz w:val="18"/>
                <w:szCs w:val="18"/>
              </w:rPr>
            </w:pPr>
            <w:r>
              <w:rPr>
                <w:rFonts w:hint="eastAsia" w:ascii="宋体" w:hAnsi="宋体"/>
                <w:sz w:val="18"/>
                <w:szCs w:val="18"/>
              </w:rPr>
              <w:t>8</w:t>
            </w:r>
          </w:p>
        </w:tc>
        <w:tc>
          <w:tcPr>
            <w:tcW w:w="709" w:type="dxa"/>
            <w:shd w:val="clear" w:color="auto" w:fill="auto"/>
            <w:vAlign w:val="center"/>
          </w:tcPr>
          <w:p>
            <w:pPr>
              <w:spacing w:line="288" w:lineRule="auto"/>
              <w:jc w:val="center"/>
              <w:rPr>
                <w:rFonts w:ascii="宋体" w:hAnsi="宋体"/>
                <w:sz w:val="18"/>
                <w:szCs w:val="18"/>
              </w:rPr>
            </w:pPr>
            <w:r>
              <w:rPr>
                <w:rFonts w:hint="eastAsia" w:ascii="宋体" w:hAnsi="宋体"/>
                <w:sz w:val="18"/>
                <w:szCs w:val="18"/>
              </w:rPr>
              <w:t>6</w:t>
            </w:r>
          </w:p>
        </w:tc>
        <w:tc>
          <w:tcPr>
            <w:tcW w:w="708" w:type="dxa"/>
            <w:shd w:val="clear" w:color="auto" w:fill="auto"/>
            <w:vAlign w:val="center"/>
          </w:tcPr>
          <w:p>
            <w:pPr>
              <w:spacing w:line="288" w:lineRule="auto"/>
              <w:jc w:val="center"/>
              <w:rPr>
                <w:rFonts w:ascii="宋体" w:hAnsi="宋体"/>
                <w:sz w:val="18"/>
                <w:szCs w:val="18"/>
              </w:rPr>
            </w:pPr>
          </w:p>
          <w:p>
            <w:pPr>
              <w:spacing w:line="288" w:lineRule="auto"/>
              <w:jc w:val="center"/>
              <w:rPr>
                <w:rFonts w:ascii="宋体" w:hAnsi="宋体"/>
                <w:sz w:val="18"/>
                <w:szCs w:val="18"/>
              </w:rPr>
            </w:pPr>
          </w:p>
        </w:tc>
        <w:tc>
          <w:tcPr>
            <w:tcW w:w="3586" w:type="dxa"/>
            <w:shd w:val="clear" w:color="auto" w:fill="auto"/>
          </w:tcPr>
          <w:p>
            <w:pPr>
              <w:spacing w:line="288" w:lineRule="auto"/>
              <w:rPr>
                <w:rFonts w:ascii="宋体" w:hAnsi="宋体"/>
                <w:sz w:val="18"/>
                <w:szCs w:val="18"/>
              </w:rPr>
            </w:pPr>
            <w:r>
              <w:rPr>
                <w:rFonts w:hint="eastAsia" w:ascii="宋体" w:hAnsi="宋体"/>
                <w:sz w:val="18"/>
                <w:szCs w:val="18"/>
              </w:rPr>
              <w:t>同一项目获得多项奖项取最高级奖赋分。获国家级奖项一、二、三等奖分别为10/8/6分，省部级8/6/4分，校级6/4/2分；特等奖等同于一等奖；未区分奖项的按一等奖计；多人获奖按照署名先后按系数按照1、0.8、0.6递减，最小系数为0.2。获奖要求提供获奖证书原件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1092" w:type="dxa"/>
            <w:vMerge w:val="restart"/>
            <w:shd w:val="clear" w:color="auto" w:fill="auto"/>
            <w:vAlign w:val="center"/>
          </w:tcPr>
          <w:p>
            <w:pPr>
              <w:widowControl/>
              <w:spacing w:line="288" w:lineRule="auto"/>
              <w:jc w:val="center"/>
              <w:rPr>
                <w:rFonts w:ascii="宋体" w:hAnsi="宋体" w:cs="宋体"/>
                <w:b/>
                <w:bCs/>
                <w:kern w:val="0"/>
                <w:sz w:val="18"/>
                <w:szCs w:val="18"/>
              </w:rPr>
            </w:pPr>
            <w:r>
              <w:rPr>
                <w:rFonts w:hint="eastAsia" w:ascii="宋体" w:hAnsi="宋体"/>
                <w:b/>
                <w:bCs/>
                <w:sz w:val="18"/>
                <w:szCs w:val="18"/>
              </w:rPr>
              <w:t>科研课题</w:t>
            </w:r>
          </w:p>
        </w:tc>
        <w:tc>
          <w:tcPr>
            <w:tcW w:w="1418" w:type="dxa"/>
            <w:shd w:val="clear" w:color="auto" w:fill="auto"/>
            <w:vAlign w:val="center"/>
          </w:tcPr>
          <w:p>
            <w:pPr>
              <w:widowControl/>
              <w:spacing w:line="288" w:lineRule="auto"/>
              <w:jc w:val="center"/>
              <w:rPr>
                <w:rFonts w:ascii="宋体" w:hAnsi="宋体"/>
                <w:sz w:val="18"/>
                <w:szCs w:val="18"/>
              </w:rPr>
            </w:pPr>
            <w:r>
              <w:rPr>
                <w:rFonts w:hint="eastAsia" w:ascii="宋体" w:hAnsi="宋体"/>
                <w:sz w:val="18"/>
                <w:szCs w:val="18"/>
              </w:rPr>
              <w:t>获得博士重点选题支持计划项目</w:t>
            </w:r>
          </w:p>
        </w:tc>
        <w:tc>
          <w:tcPr>
            <w:tcW w:w="2976" w:type="dxa"/>
            <w:gridSpan w:val="4"/>
            <w:shd w:val="clear" w:color="auto" w:fill="auto"/>
            <w:vAlign w:val="center"/>
          </w:tcPr>
          <w:p>
            <w:pPr>
              <w:spacing w:line="288" w:lineRule="auto"/>
              <w:jc w:val="center"/>
              <w:rPr>
                <w:rFonts w:ascii="宋体" w:hAnsi="宋体"/>
                <w:sz w:val="18"/>
                <w:szCs w:val="18"/>
              </w:rPr>
            </w:pPr>
            <w:r>
              <w:rPr>
                <w:rFonts w:ascii="宋体" w:hAnsi="宋体"/>
                <w:sz w:val="18"/>
                <w:szCs w:val="18"/>
              </w:rPr>
              <w:t>10</w:t>
            </w:r>
          </w:p>
        </w:tc>
        <w:tc>
          <w:tcPr>
            <w:tcW w:w="3586" w:type="dxa"/>
            <w:vMerge w:val="restart"/>
            <w:shd w:val="clear" w:color="auto" w:fill="auto"/>
          </w:tcPr>
          <w:p>
            <w:pPr>
              <w:spacing w:line="288" w:lineRule="auto"/>
              <w:rPr>
                <w:rFonts w:ascii="宋体" w:hAnsi="宋体"/>
                <w:sz w:val="18"/>
                <w:szCs w:val="18"/>
              </w:rPr>
            </w:pPr>
            <w:r>
              <w:rPr>
                <w:rFonts w:hint="eastAsia" w:ascii="宋体" w:hAnsi="宋体"/>
                <w:sz w:val="18"/>
                <w:szCs w:val="18"/>
              </w:rPr>
              <w:t>博士重点选题支持计划、研究生科研创新计划如果已经超过规定完成的时间尚未结项，按照基础分值的50%计算，已经结项或未满规定完成的时间项目，按照基础分值100%计算。参与研究生科研创新基金的成员，统一按照每人2分计算。国家两金指国家社科基金和国家自然科学基金；省部级纵向项目指教育部人文社科基金和北京市社科、自科基金项目。学校、学院立项项目包括教改和科研课题，其他横向课题包括所有纳入学校科研管理系统的部委和企事业单位委托课题。参与课题要求课题负责人出具证明。参与多项项目的，记分项目不超过二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1092" w:type="dxa"/>
            <w:vMerge w:val="continue"/>
            <w:shd w:val="clear" w:color="auto" w:fill="auto"/>
            <w:vAlign w:val="center"/>
          </w:tcPr>
          <w:p>
            <w:pPr>
              <w:widowControl/>
              <w:spacing w:line="288" w:lineRule="auto"/>
              <w:jc w:val="center"/>
              <w:rPr>
                <w:rFonts w:ascii="宋体" w:hAnsi="宋体" w:cs="宋体"/>
                <w:b/>
                <w:bCs/>
                <w:kern w:val="0"/>
                <w:sz w:val="18"/>
                <w:szCs w:val="18"/>
              </w:rPr>
            </w:pPr>
          </w:p>
        </w:tc>
        <w:tc>
          <w:tcPr>
            <w:tcW w:w="1418" w:type="dxa"/>
            <w:shd w:val="clear" w:color="auto" w:fill="auto"/>
            <w:vAlign w:val="center"/>
          </w:tcPr>
          <w:p>
            <w:pPr>
              <w:widowControl/>
              <w:spacing w:line="288" w:lineRule="auto"/>
              <w:jc w:val="center"/>
              <w:rPr>
                <w:rFonts w:ascii="宋体" w:hAnsi="宋体"/>
                <w:sz w:val="18"/>
                <w:szCs w:val="18"/>
              </w:rPr>
            </w:pPr>
            <w:r>
              <w:rPr>
                <w:rFonts w:hint="eastAsia" w:ascii="宋体" w:hAnsi="宋体"/>
                <w:sz w:val="18"/>
                <w:szCs w:val="18"/>
              </w:rPr>
              <w:t>主持研究生科研创新基金项目</w:t>
            </w:r>
          </w:p>
        </w:tc>
        <w:tc>
          <w:tcPr>
            <w:tcW w:w="2976" w:type="dxa"/>
            <w:gridSpan w:val="4"/>
            <w:shd w:val="clear" w:color="auto" w:fill="auto"/>
            <w:vAlign w:val="center"/>
          </w:tcPr>
          <w:p>
            <w:pPr>
              <w:spacing w:line="288" w:lineRule="auto"/>
              <w:jc w:val="center"/>
              <w:rPr>
                <w:rFonts w:ascii="宋体" w:hAnsi="宋体"/>
                <w:sz w:val="18"/>
                <w:szCs w:val="18"/>
              </w:rPr>
            </w:pPr>
            <w:r>
              <w:rPr>
                <w:rFonts w:ascii="宋体" w:hAnsi="宋体"/>
                <w:sz w:val="18"/>
                <w:szCs w:val="18"/>
              </w:rPr>
              <w:t>5</w:t>
            </w:r>
          </w:p>
        </w:tc>
        <w:tc>
          <w:tcPr>
            <w:tcW w:w="3586" w:type="dxa"/>
            <w:vMerge w:val="continue"/>
            <w:shd w:val="clear" w:color="auto" w:fill="auto"/>
          </w:tcPr>
          <w:p>
            <w:pPr>
              <w:spacing w:line="288" w:lineRule="auto"/>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1092" w:type="dxa"/>
            <w:vMerge w:val="continue"/>
            <w:shd w:val="clear" w:color="auto" w:fill="auto"/>
            <w:vAlign w:val="center"/>
          </w:tcPr>
          <w:p>
            <w:pPr>
              <w:widowControl/>
              <w:spacing w:line="288" w:lineRule="auto"/>
              <w:jc w:val="center"/>
              <w:rPr>
                <w:rFonts w:ascii="宋体" w:hAnsi="宋体" w:cs="宋体"/>
                <w:b/>
                <w:bCs/>
                <w:kern w:val="0"/>
                <w:sz w:val="18"/>
                <w:szCs w:val="18"/>
              </w:rPr>
            </w:pPr>
          </w:p>
        </w:tc>
        <w:tc>
          <w:tcPr>
            <w:tcW w:w="1418" w:type="dxa"/>
            <w:shd w:val="clear" w:color="auto" w:fill="auto"/>
            <w:vAlign w:val="center"/>
          </w:tcPr>
          <w:p>
            <w:pPr>
              <w:widowControl/>
              <w:spacing w:line="288" w:lineRule="auto"/>
              <w:jc w:val="center"/>
              <w:rPr>
                <w:rFonts w:ascii="宋体" w:hAnsi="宋体"/>
                <w:sz w:val="18"/>
                <w:szCs w:val="18"/>
              </w:rPr>
            </w:pPr>
            <w:r>
              <w:rPr>
                <w:rFonts w:hint="eastAsia" w:ascii="宋体" w:hAnsi="宋体"/>
                <w:sz w:val="18"/>
                <w:szCs w:val="18"/>
              </w:rPr>
              <w:t>参与国家“两金”项目</w:t>
            </w:r>
          </w:p>
        </w:tc>
        <w:tc>
          <w:tcPr>
            <w:tcW w:w="2976" w:type="dxa"/>
            <w:gridSpan w:val="4"/>
            <w:shd w:val="clear" w:color="auto" w:fill="auto"/>
            <w:vAlign w:val="center"/>
          </w:tcPr>
          <w:p>
            <w:pPr>
              <w:widowControl/>
              <w:spacing w:line="288" w:lineRule="auto"/>
              <w:jc w:val="center"/>
              <w:rPr>
                <w:rFonts w:ascii="宋体" w:hAnsi="宋体"/>
                <w:sz w:val="18"/>
                <w:szCs w:val="18"/>
              </w:rPr>
            </w:pPr>
            <w:r>
              <w:rPr>
                <w:rFonts w:hint="eastAsia" w:ascii="宋体" w:hAnsi="宋体"/>
                <w:sz w:val="18"/>
                <w:szCs w:val="18"/>
              </w:rPr>
              <w:t xml:space="preserve">5.0 </w:t>
            </w:r>
          </w:p>
        </w:tc>
        <w:tc>
          <w:tcPr>
            <w:tcW w:w="3586" w:type="dxa"/>
            <w:vMerge w:val="continue"/>
            <w:shd w:val="clear" w:color="auto" w:fill="auto"/>
          </w:tcPr>
          <w:p>
            <w:pPr>
              <w:spacing w:line="288" w:lineRule="auto"/>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1092" w:type="dxa"/>
            <w:vMerge w:val="continue"/>
            <w:shd w:val="clear" w:color="auto" w:fill="auto"/>
            <w:vAlign w:val="center"/>
          </w:tcPr>
          <w:p>
            <w:pPr>
              <w:widowControl/>
              <w:spacing w:line="288" w:lineRule="auto"/>
              <w:jc w:val="center"/>
              <w:rPr>
                <w:rFonts w:ascii="宋体" w:hAnsi="宋体" w:cs="宋体"/>
                <w:b/>
                <w:bCs/>
                <w:kern w:val="0"/>
                <w:sz w:val="18"/>
                <w:szCs w:val="18"/>
              </w:rPr>
            </w:pPr>
          </w:p>
        </w:tc>
        <w:tc>
          <w:tcPr>
            <w:tcW w:w="1418" w:type="dxa"/>
            <w:shd w:val="clear" w:color="auto" w:fill="auto"/>
            <w:vAlign w:val="center"/>
          </w:tcPr>
          <w:p>
            <w:pPr>
              <w:widowControl/>
              <w:spacing w:line="288" w:lineRule="auto"/>
              <w:jc w:val="center"/>
              <w:rPr>
                <w:rFonts w:ascii="宋体" w:hAnsi="宋体"/>
                <w:sz w:val="18"/>
                <w:szCs w:val="18"/>
              </w:rPr>
            </w:pPr>
            <w:r>
              <w:rPr>
                <w:rFonts w:hint="eastAsia" w:ascii="宋体" w:hAnsi="宋体"/>
                <w:sz w:val="18"/>
                <w:szCs w:val="18"/>
              </w:rPr>
              <w:t>参与省部级纵向项目</w:t>
            </w:r>
          </w:p>
        </w:tc>
        <w:tc>
          <w:tcPr>
            <w:tcW w:w="2976" w:type="dxa"/>
            <w:gridSpan w:val="4"/>
            <w:shd w:val="clear" w:color="auto" w:fill="auto"/>
            <w:vAlign w:val="center"/>
          </w:tcPr>
          <w:p>
            <w:pPr>
              <w:widowControl/>
              <w:spacing w:line="288" w:lineRule="auto"/>
              <w:jc w:val="center"/>
              <w:rPr>
                <w:rFonts w:ascii="宋体" w:hAnsi="宋体"/>
                <w:sz w:val="18"/>
                <w:szCs w:val="18"/>
              </w:rPr>
            </w:pPr>
            <w:r>
              <w:rPr>
                <w:rFonts w:hint="eastAsia" w:ascii="宋体" w:hAnsi="宋体"/>
                <w:sz w:val="18"/>
                <w:szCs w:val="18"/>
              </w:rPr>
              <w:t xml:space="preserve">4.0 </w:t>
            </w:r>
          </w:p>
        </w:tc>
        <w:tc>
          <w:tcPr>
            <w:tcW w:w="3586" w:type="dxa"/>
            <w:vMerge w:val="continue"/>
            <w:shd w:val="clear" w:color="auto" w:fill="auto"/>
          </w:tcPr>
          <w:p>
            <w:pPr>
              <w:spacing w:line="288" w:lineRule="auto"/>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1092" w:type="dxa"/>
            <w:vMerge w:val="continue"/>
            <w:shd w:val="clear" w:color="auto" w:fill="auto"/>
            <w:vAlign w:val="center"/>
          </w:tcPr>
          <w:p>
            <w:pPr>
              <w:widowControl/>
              <w:spacing w:line="288" w:lineRule="auto"/>
              <w:jc w:val="center"/>
              <w:rPr>
                <w:rFonts w:ascii="宋体" w:hAnsi="宋体" w:cs="宋体"/>
                <w:b/>
                <w:bCs/>
                <w:kern w:val="0"/>
                <w:sz w:val="18"/>
                <w:szCs w:val="18"/>
              </w:rPr>
            </w:pPr>
          </w:p>
        </w:tc>
        <w:tc>
          <w:tcPr>
            <w:tcW w:w="1418" w:type="dxa"/>
            <w:shd w:val="clear" w:color="auto" w:fill="auto"/>
            <w:vAlign w:val="center"/>
          </w:tcPr>
          <w:p>
            <w:pPr>
              <w:widowControl/>
              <w:spacing w:line="288" w:lineRule="auto"/>
              <w:jc w:val="center"/>
              <w:rPr>
                <w:rFonts w:ascii="宋体" w:hAnsi="宋体"/>
                <w:sz w:val="18"/>
                <w:szCs w:val="18"/>
              </w:rPr>
            </w:pPr>
            <w:r>
              <w:rPr>
                <w:rFonts w:hint="eastAsia" w:ascii="宋体" w:hAnsi="宋体"/>
                <w:sz w:val="18"/>
                <w:szCs w:val="18"/>
              </w:rPr>
              <w:t>参与校级院级以及其他各类横向课题的课题</w:t>
            </w:r>
          </w:p>
        </w:tc>
        <w:tc>
          <w:tcPr>
            <w:tcW w:w="2976" w:type="dxa"/>
            <w:gridSpan w:val="4"/>
            <w:shd w:val="clear" w:color="auto" w:fill="auto"/>
            <w:vAlign w:val="center"/>
          </w:tcPr>
          <w:p>
            <w:pPr>
              <w:widowControl/>
              <w:spacing w:line="288" w:lineRule="auto"/>
              <w:jc w:val="center"/>
              <w:rPr>
                <w:rFonts w:ascii="宋体" w:hAnsi="宋体"/>
                <w:sz w:val="18"/>
                <w:szCs w:val="18"/>
              </w:rPr>
            </w:pPr>
            <w:r>
              <w:rPr>
                <w:rFonts w:hint="eastAsia" w:ascii="宋体" w:hAnsi="宋体"/>
                <w:sz w:val="18"/>
                <w:szCs w:val="18"/>
              </w:rPr>
              <w:t xml:space="preserve">3.0 </w:t>
            </w:r>
          </w:p>
        </w:tc>
        <w:tc>
          <w:tcPr>
            <w:tcW w:w="3586" w:type="dxa"/>
            <w:vMerge w:val="continue"/>
            <w:shd w:val="clear" w:color="auto" w:fill="auto"/>
          </w:tcPr>
          <w:p>
            <w:pPr>
              <w:spacing w:line="288" w:lineRule="auto"/>
              <w:rPr>
                <w:rFonts w:ascii="宋体" w:hAnsi="宋体" w:cs="宋体"/>
                <w:kern w:val="0"/>
                <w:sz w:val="18"/>
                <w:szCs w:val="18"/>
              </w:rPr>
            </w:pPr>
          </w:p>
        </w:tc>
      </w:tr>
    </w:tbl>
    <w:p>
      <w:pPr>
        <w:widowControl/>
        <w:shd w:val="clear" w:color="auto" w:fill="FFFFFF"/>
        <w:spacing w:line="440" w:lineRule="atLeast"/>
        <w:ind w:firstLine="360" w:firstLineChars="200"/>
        <w:jc w:val="center"/>
        <w:rPr>
          <w:rFonts w:ascii="宋体" w:hAnsi="宋体"/>
          <w:sz w:val="18"/>
          <w:szCs w:val="18"/>
        </w:rPr>
      </w:pPr>
    </w:p>
    <w:p>
      <w:pPr>
        <w:widowControl/>
        <w:shd w:val="clear" w:color="auto" w:fill="FFFFFF"/>
        <w:ind w:firstLine="360" w:firstLineChars="200"/>
        <w:jc w:val="left"/>
        <w:rPr>
          <w:rFonts w:ascii="宋体" w:hAnsi="宋体"/>
          <w:sz w:val="18"/>
          <w:szCs w:val="18"/>
        </w:rPr>
      </w:pPr>
      <w:r>
        <w:rPr>
          <w:rFonts w:hint="eastAsia" w:ascii="宋体" w:hAnsi="宋体"/>
          <w:sz w:val="18"/>
          <w:szCs w:val="18"/>
        </w:rPr>
        <w:t xml:space="preserve">备注： </w:t>
      </w:r>
      <w:r>
        <w:rPr>
          <w:rFonts w:ascii="宋体" w:hAnsi="宋体"/>
          <w:sz w:val="18"/>
          <w:szCs w:val="18"/>
        </w:rPr>
        <w:t>1</w:t>
      </w:r>
      <w:r>
        <w:rPr>
          <w:rFonts w:hint="eastAsia" w:ascii="宋体" w:hAnsi="宋体"/>
          <w:sz w:val="18"/>
          <w:szCs w:val="18"/>
        </w:rPr>
        <w:t>、参加与金融专业相关个各类比赛或竞赛，如大学生数学建模比赛、“挑战杯”论文或创业大赛等，获得国家级一、二、三等奖的基础分数分别为10、8、6分/项，省级一、二、三等奖分别为8、6、4分/项，校级一、二、三等奖分别为6、4、2分/项；特等奖</w:t>
      </w:r>
      <w:r>
        <w:rPr>
          <w:rFonts w:ascii="宋体" w:hAnsi="宋体"/>
          <w:sz w:val="18"/>
          <w:szCs w:val="18"/>
        </w:rPr>
        <w:t>和</w:t>
      </w:r>
      <w:r>
        <w:rPr>
          <w:rFonts w:hint="eastAsia" w:ascii="宋体" w:hAnsi="宋体"/>
          <w:sz w:val="18"/>
          <w:szCs w:val="18"/>
        </w:rPr>
        <w:t>不分等级的奖项按一等奖计算。获奖名次，排序第一按照基础分值的80%计算，排序第二按照基础分值的60%计算，第三及以后的所有位次排名按照基础分值的50%计算。</w:t>
      </w:r>
    </w:p>
    <w:p>
      <w:pPr>
        <w:widowControl/>
        <w:shd w:val="clear" w:color="auto" w:fill="FFFFFF"/>
        <w:ind w:firstLine="360" w:firstLineChars="200"/>
        <w:jc w:val="left"/>
        <w:rPr>
          <w:rFonts w:ascii="黑体" w:hAnsi="黑体" w:eastAsia="黑体"/>
          <w:sz w:val="18"/>
          <w:szCs w:val="18"/>
        </w:rPr>
      </w:pPr>
      <w:r>
        <w:rPr>
          <w:rFonts w:hint="eastAsia" w:ascii="黑体" w:hAnsi="黑体" w:eastAsia="黑体"/>
          <w:sz w:val="18"/>
          <w:szCs w:val="18"/>
        </w:rPr>
        <w:t>2、英文期刊</w:t>
      </w:r>
      <w:r>
        <w:rPr>
          <w:rFonts w:ascii="黑体" w:hAnsi="黑体" w:eastAsia="黑体"/>
          <w:sz w:val="18"/>
          <w:szCs w:val="18"/>
        </w:rPr>
        <w:t>论文</w:t>
      </w:r>
      <w:r>
        <w:rPr>
          <w:rFonts w:hint="eastAsia" w:ascii="黑体" w:hAnsi="黑体" w:eastAsia="黑体"/>
          <w:sz w:val="18"/>
          <w:szCs w:val="18"/>
        </w:rPr>
        <w:t>以</w:t>
      </w:r>
      <w:r>
        <w:rPr>
          <w:rFonts w:ascii="黑体" w:hAnsi="黑体" w:eastAsia="黑体"/>
          <w:sz w:val="18"/>
          <w:szCs w:val="18"/>
        </w:rPr>
        <w:t>学院目录级别为准，</w:t>
      </w:r>
      <w:r>
        <w:rPr>
          <w:rFonts w:hint="eastAsia" w:ascii="黑体" w:hAnsi="黑体" w:eastAsia="黑体"/>
          <w:sz w:val="18"/>
          <w:szCs w:val="18"/>
        </w:rPr>
        <w:t>外文</w:t>
      </w:r>
      <w:r>
        <w:rPr>
          <w:rFonts w:ascii="黑体" w:hAnsi="黑体" w:eastAsia="黑体"/>
          <w:sz w:val="18"/>
          <w:szCs w:val="18"/>
        </w:rPr>
        <w:t>A+类</w:t>
      </w:r>
      <w:r>
        <w:rPr>
          <w:rFonts w:hint="eastAsia" w:ascii="黑体" w:hAnsi="黑体" w:eastAsia="黑体"/>
          <w:sz w:val="18"/>
          <w:szCs w:val="18"/>
        </w:rPr>
        <w:t>50分</w:t>
      </w:r>
      <w:r>
        <w:rPr>
          <w:rFonts w:ascii="黑体" w:hAnsi="黑体" w:eastAsia="黑体"/>
          <w:sz w:val="18"/>
          <w:szCs w:val="18"/>
        </w:rPr>
        <w:t>，A类</w:t>
      </w:r>
      <w:r>
        <w:rPr>
          <w:rFonts w:hint="eastAsia" w:ascii="黑体" w:hAnsi="黑体" w:eastAsia="黑体"/>
          <w:sz w:val="18"/>
          <w:szCs w:val="18"/>
        </w:rPr>
        <w:t>40分</w:t>
      </w:r>
      <w:r>
        <w:rPr>
          <w:rFonts w:ascii="黑体" w:hAnsi="黑体" w:eastAsia="黑体"/>
          <w:sz w:val="18"/>
          <w:szCs w:val="18"/>
        </w:rPr>
        <w:t>，</w:t>
      </w:r>
      <w:r>
        <w:rPr>
          <w:rFonts w:hint="eastAsia" w:ascii="黑体" w:hAnsi="黑体" w:eastAsia="黑体"/>
          <w:sz w:val="18"/>
          <w:szCs w:val="18"/>
        </w:rPr>
        <w:t>B+</w:t>
      </w:r>
      <w:r>
        <w:rPr>
          <w:rFonts w:ascii="黑体" w:hAnsi="黑体" w:eastAsia="黑体"/>
          <w:sz w:val="18"/>
          <w:szCs w:val="18"/>
        </w:rPr>
        <w:t>类25</w:t>
      </w:r>
      <w:r>
        <w:rPr>
          <w:rFonts w:hint="eastAsia" w:ascii="黑体" w:hAnsi="黑体" w:eastAsia="黑体"/>
          <w:sz w:val="18"/>
          <w:szCs w:val="18"/>
        </w:rPr>
        <w:t>分，</w:t>
      </w:r>
      <w:r>
        <w:rPr>
          <w:rFonts w:ascii="黑体" w:hAnsi="黑体" w:eastAsia="黑体"/>
          <w:sz w:val="18"/>
          <w:szCs w:val="18"/>
        </w:rPr>
        <w:t>B类20</w:t>
      </w:r>
      <w:r>
        <w:rPr>
          <w:rFonts w:hint="eastAsia" w:ascii="黑体" w:hAnsi="黑体" w:eastAsia="黑体"/>
          <w:sz w:val="18"/>
          <w:szCs w:val="18"/>
        </w:rPr>
        <w:t>分</w:t>
      </w:r>
      <w:r>
        <w:rPr>
          <w:rFonts w:ascii="黑体" w:hAnsi="黑体" w:eastAsia="黑体"/>
          <w:sz w:val="18"/>
          <w:szCs w:val="18"/>
        </w:rPr>
        <w:t>，</w:t>
      </w:r>
      <w:r>
        <w:rPr>
          <w:rFonts w:hint="eastAsia" w:ascii="黑体" w:hAnsi="黑体" w:eastAsia="黑体"/>
          <w:sz w:val="18"/>
          <w:szCs w:val="18"/>
        </w:rPr>
        <w:t>C类15分</w:t>
      </w:r>
      <w:r>
        <w:rPr>
          <w:rFonts w:ascii="黑体" w:hAnsi="黑体" w:eastAsia="黑体"/>
          <w:sz w:val="18"/>
          <w:szCs w:val="18"/>
        </w:rPr>
        <w:t>，未在学院目录的SCI或SSCI论文10</w:t>
      </w:r>
      <w:r>
        <w:rPr>
          <w:rFonts w:hint="eastAsia" w:ascii="黑体" w:hAnsi="黑体" w:eastAsia="黑体"/>
          <w:sz w:val="18"/>
          <w:szCs w:val="18"/>
        </w:rPr>
        <w:t>分</w:t>
      </w:r>
      <w:r>
        <w:rPr>
          <w:rFonts w:ascii="黑体" w:hAnsi="黑体" w:eastAsia="黑体"/>
          <w:sz w:val="18"/>
          <w:szCs w:val="18"/>
        </w:rPr>
        <w:t>，</w:t>
      </w:r>
      <w:r>
        <w:rPr>
          <w:rFonts w:hint="eastAsia" w:ascii="黑体" w:hAnsi="黑体" w:eastAsia="黑体"/>
          <w:sz w:val="18"/>
          <w:szCs w:val="18"/>
        </w:rPr>
        <w:t>其他</w:t>
      </w:r>
      <w:r>
        <w:rPr>
          <w:rFonts w:ascii="黑体" w:hAnsi="黑体" w:eastAsia="黑体"/>
          <w:sz w:val="18"/>
          <w:szCs w:val="18"/>
        </w:rPr>
        <w:t>英文期刊论文最高计5</w:t>
      </w:r>
      <w:r>
        <w:rPr>
          <w:rFonts w:hint="eastAsia" w:ascii="黑体" w:hAnsi="黑体" w:eastAsia="黑体"/>
          <w:sz w:val="18"/>
          <w:szCs w:val="18"/>
        </w:rPr>
        <w:t>分</w:t>
      </w:r>
      <w:r>
        <w:rPr>
          <w:rFonts w:ascii="黑体" w:hAnsi="黑体" w:eastAsia="黑体"/>
          <w:sz w:val="18"/>
          <w:szCs w:val="18"/>
        </w:rPr>
        <w:t>，上述分值均指独立作者，第一作者</w:t>
      </w:r>
      <w:r>
        <w:rPr>
          <w:rFonts w:hint="eastAsia" w:ascii="黑体" w:hAnsi="黑体" w:eastAsia="黑体"/>
          <w:sz w:val="18"/>
          <w:szCs w:val="18"/>
        </w:rPr>
        <w:t>按照独立</w:t>
      </w:r>
      <w:r>
        <w:rPr>
          <w:rFonts w:ascii="黑体" w:hAnsi="黑体" w:eastAsia="黑体"/>
          <w:sz w:val="18"/>
          <w:szCs w:val="18"/>
        </w:rPr>
        <w:t>作者分数的</w:t>
      </w:r>
      <w:r>
        <w:rPr>
          <w:rFonts w:hint="eastAsia" w:ascii="黑体" w:hAnsi="黑体" w:eastAsia="黑体"/>
          <w:sz w:val="18"/>
          <w:szCs w:val="18"/>
        </w:rPr>
        <w:t>80</w:t>
      </w:r>
      <w:r>
        <w:rPr>
          <w:rFonts w:ascii="黑体" w:hAnsi="黑体" w:eastAsia="黑体"/>
          <w:sz w:val="18"/>
          <w:szCs w:val="18"/>
        </w:rPr>
        <w:t>%计算，第二作者按照</w:t>
      </w:r>
      <w:r>
        <w:rPr>
          <w:rFonts w:hint="eastAsia" w:ascii="黑体" w:hAnsi="黑体" w:eastAsia="黑体"/>
          <w:sz w:val="18"/>
          <w:szCs w:val="18"/>
        </w:rPr>
        <w:t>60</w:t>
      </w:r>
      <w:r>
        <w:rPr>
          <w:rFonts w:ascii="黑体" w:hAnsi="黑体" w:eastAsia="黑体"/>
          <w:sz w:val="18"/>
          <w:szCs w:val="18"/>
        </w:rPr>
        <w:t>%计算，第三及以后按照</w:t>
      </w:r>
      <w:r>
        <w:rPr>
          <w:rFonts w:hint="eastAsia" w:ascii="黑体" w:hAnsi="黑体" w:eastAsia="黑体"/>
          <w:sz w:val="18"/>
          <w:szCs w:val="18"/>
        </w:rPr>
        <w:t>50</w:t>
      </w:r>
      <w:r>
        <w:rPr>
          <w:rFonts w:ascii="黑体" w:hAnsi="黑体" w:eastAsia="黑体"/>
          <w:sz w:val="18"/>
          <w:szCs w:val="18"/>
        </w:rPr>
        <w:t>%计算</w:t>
      </w:r>
      <w:r>
        <w:rPr>
          <w:rFonts w:hint="eastAsia" w:ascii="黑体" w:hAnsi="黑体" w:eastAsia="黑体"/>
          <w:sz w:val="18"/>
          <w:szCs w:val="18"/>
        </w:rPr>
        <w:t>。</w:t>
      </w:r>
    </w:p>
    <w:p>
      <w:pPr>
        <w:widowControl/>
        <w:jc w:val="left"/>
        <w:rPr>
          <w:rFonts w:ascii="仿宋_GB2312" w:hAnsi="仿宋"/>
          <w:sz w:val="30"/>
          <w:szCs w:val="30"/>
        </w:rPr>
      </w:pPr>
    </w:p>
    <w:sectPr>
      <w:footerReference r:id="rId3" w:type="default"/>
      <w:pgSz w:w="11906" w:h="16838"/>
      <w:pgMar w:top="1440" w:right="1230" w:bottom="1440" w:left="123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5213042"/>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8452C2"/>
    <w:multiLevelType w:val="singleLevel"/>
    <w:tmpl w:val="B88452C2"/>
    <w:lvl w:ilvl="0" w:tentative="0">
      <w:start w:val="4"/>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16"/>
    <w:rsid w:val="000121B5"/>
    <w:rsid w:val="000176AA"/>
    <w:rsid w:val="00022B04"/>
    <w:rsid w:val="00030026"/>
    <w:rsid w:val="0003110E"/>
    <w:rsid w:val="00032476"/>
    <w:rsid w:val="00047204"/>
    <w:rsid w:val="0004748E"/>
    <w:rsid w:val="00050051"/>
    <w:rsid w:val="000733D1"/>
    <w:rsid w:val="00077F96"/>
    <w:rsid w:val="000840D3"/>
    <w:rsid w:val="00093F33"/>
    <w:rsid w:val="0009485B"/>
    <w:rsid w:val="0009759D"/>
    <w:rsid w:val="000A28AA"/>
    <w:rsid w:val="000B2863"/>
    <w:rsid w:val="000B381B"/>
    <w:rsid w:val="000C1215"/>
    <w:rsid w:val="000F1830"/>
    <w:rsid w:val="00104862"/>
    <w:rsid w:val="00123F25"/>
    <w:rsid w:val="00127811"/>
    <w:rsid w:val="0013446E"/>
    <w:rsid w:val="00135A72"/>
    <w:rsid w:val="00141605"/>
    <w:rsid w:val="001527AA"/>
    <w:rsid w:val="0015506B"/>
    <w:rsid w:val="001647A6"/>
    <w:rsid w:val="0017167A"/>
    <w:rsid w:val="00192792"/>
    <w:rsid w:val="001B1F63"/>
    <w:rsid w:val="001B33AA"/>
    <w:rsid w:val="001C0BA2"/>
    <w:rsid w:val="001C6635"/>
    <w:rsid w:val="001C66F8"/>
    <w:rsid w:val="001D49CF"/>
    <w:rsid w:val="001D5622"/>
    <w:rsid w:val="001F0AC7"/>
    <w:rsid w:val="001F1F58"/>
    <w:rsid w:val="001F7A78"/>
    <w:rsid w:val="0020143E"/>
    <w:rsid w:val="00205463"/>
    <w:rsid w:val="00211F19"/>
    <w:rsid w:val="002250EB"/>
    <w:rsid w:val="0022646F"/>
    <w:rsid w:val="00233821"/>
    <w:rsid w:val="002373F7"/>
    <w:rsid w:val="00251515"/>
    <w:rsid w:val="002554EC"/>
    <w:rsid w:val="00256E3E"/>
    <w:rsid w:val="00261F96"/>
    <w:rsid w:val="00280F2E"/>
    <w:rsid w:val="00281D02"/>
    <w:rsid w:val="0028635B"/>
    <w:rsid w:val="0029200E"/>
    <w:rsid w:val="002A5E23"/>
    <w:rsid w:val="002A79A3"/>
    <w:rsid w:val="002B4FC9"/>
    <w:rsid w:val="002C042B"/>
    <w:rsid w:val="002C37AB"/>
    <w:rsid w:val="002C50B0"/>
    <w:rsid w:val="002C59AB"/>
    <w:rsid w:val="002D0745"/>
    <w:rsid w:val="002E26E6"/>
    <w:rsid w:val="002E29E2"/>
    <w:rsid w:val="002E320B"/>
    <w:rsid w:val="00307382"/>
    <w:rsid w:val="00325E29"/>
    <w:rsid w:val="00334898"/>
    <w:rsid w:val="00341E60"/>
    <w:rsid w:val="0034382A"/>
    <w:rsid w:val="003465A5"/>
    <w:rsid w:val="00354875"/>
    <w:rsid w:val="0038085D"/>
    <w:rsid w:val="00385E50"/>
    <w:rsid w:val="00396103"/>
    <w:rsid w:val="003A0413"/>
    <w:rsid w:val="003A3E38"/>
    <w:rsid w:val="003E00D2"/>
    <w:rsid w:val="003E18A9"/>
    <w:rsid w:val="003F575E"/>
    <w:rsid w:val="00404B1A"/>
    <w:rsid w:val="00404B35"/>
    <w:rsid w:val="004116DA"/>
    <w:rsid w:val="00414AAE"/>
    <w:rsid w:val="00415D60"/>
    <w:rsid w:val="00426CA3"/>
    <w:rsid w:val="004315AC"/>
    <w:rsid w:val="00435EF6"/>
    <w:rsid w:val="0044310D"/>
    <w:rsid w:val="00466EDA"/>
    <w:rsid w:val="00476909"/>
    <w:rsid w:val="0048003E"/>
    <w:rsid w:val="00483708"/>
    <w:rsid w:val="004850A5"/>
    <w:rsid w:val="0049259B"/>
    <w:rsid w:val="004A17BB"/>
    <w:rsid w:val="004A1800"/>
    <w:rsid w:val="004C3ECD"/>
    <w:rsid w:val="004F4759"/>
    <w:rsid w:val="004F4A70"/>
    <w:rsid w:val="00500DC9"/>
    <w:rsid w:val="00502490"/>
    <w:rsid w:val="005148E4"/>
    <w:rsid w:val="005157C1"/>
    <w:rsid w:val="005226CF"/>
    <w:rsid w:val="00530299"/>
    <w:rsid w:val="005450D4"/>
    <w:rsid w:val="00577C02"/>
    <w:rsid w:val="005847D4"/>
    <w:rsid w:val="0058583C"/>
    <w:rsid w:val="005879C5"/>
    <w:rsid w:val="005954D7"/>
    <w:rsid w:val="005A0294"/>
    <w:rsid w:val="005B0045"/>
    <w:rsid w:val="005B4FE3"/>
    <w:rsid w:val="005B5E79"/>
    <w:rsid w:val="005C17F6"/>
    <w:rsid w:val="005C375C"/>
    <w:rsid w:val="005C3B97"/>
    <w:rsid w:val="005C4C95"/>
    <w:rsid w:val="005F1939"/>
    <w:rsid w:val="006039DA"/>
    <w:rsid w:val="00626658"/>
    <w:rsid w:val="006273EE"/>
    <w:rsid w:val="00630CF1"/>
    <w:rsid w:val="0063271E"/>
    <w:rsid w:val="006414E0"/>
    <w:rsid w:val="00643345"/>
    <w:rsid w:val="00645251"/>
    <w:rsid w:val="00645CCE"/>
    <w:rsid w:val="00645CDB"/>
    <w:rsid w:val="006504FF"/>
    <w:rsid w:val="0065302E"/>
    <w:rsid w:val="00653A54"/>
    <w:rsid w:val="00661E6A"/>
    <w:rsid w:val="006627FA"/>
    <w:rsid w:val="0067003B"/>
    <w:rsid w:val="00675F96"/>
    <w:rsid w:val="00676DC8"/>
    <w:rsid w:val="0067776A"/>
    <w:rsid w:val="00677776"/>
    <w:rsid w:val="006952E8"/>
    <w:rsid w:val="006A1ECD"/>
    <w:rsid w:val="006F1804"/>
    <w:rsid w:val="006F7861"/>
    <w:rsid w:val="0070414B"/>
    <w:rsid w:val="007056EB"/>
    <w:rsid w:val="00712D03"/>
    <w:rsid w:val="007135F8"/>
    <w:rsid w:val="00714C65"/>
    <w:rsid w:val="00715EA6"/>
    <w:rsid w:val="0072772B"/>
    <w:rsid w:val="00752111"/>
    <w:rsid w:val="0075611E"/>
    <w:rsid w:val="007561FE"/>
    <w:rsid w:val="00756466"/>
    <w:rsid w:val="0076154C"/>
    <w:rsid w:val="00761EDC"/>
    <w:rsid w:val="00776BD7"/>
    <w:rsid w:val="007801FF"/>
    <w:rsid w:val="0078182D"/>
    <w:rsid w:val="00787D05"/>
    <w:rsid w:val="00790732"/>
    <w:rsid w:val="00791264"/>
    <w:rsid w:val="007969D8"/>
    <w:rsid w:val="007C0D6F"/>
    <w:rsid w:val="007C5EC9"/>
    <w:rsid w:val="007C74CF"/>
    <w:rsid w:val="007D3698"/>
    <w:rsid w:val="007E149F"/>
    <w:rsid w:val="007E4A0F"/>
    <w:rsid w:val="007E6292"/>
    <w:rsid w:val="007E64BA"/>
    <w:rsid w:val="007F7C7E"/>
    <w:rsid w:val="0080124B"/>
    <w:rsid w:val="0080404F"/>
    <w:rsid w:val="008045D7"/>
    <w:rsid w:val="0080485C"/>
    <w:rsid w:val="008140DC"/>
    <w:rsid w:val="00826563"/>
    <w:rsid w:val="00832FF0"/>
    <w:rsid w:val="0083698B"/>
    <w:rsid w:val="008432C1"/>
    <w:rsid w:val="00854730"/>
    <w:rsid w:val="0086557F"/>
    <w:rsid w:val="008758ED"/>
    <w:rsid w:val="00883750"/>
    <w:rsid w:val="0089544D"/>
    <w:rsid w:val="008A7787"/>
    <w:rsid w:val="008C164C"/>
    <w:rsid w:val="008C4747"/>
    <w:rsid w:val="008C5FB0"/>
    <w:rsid w:val="008C6BD1"/>
    <w:rsid w:val="008C6DAC"/>
    <w:rsid w:val="008F14F4"/>
    <w:rsid w:val="008F2786"/>
    <w:rsid w:val="009112C5"/>
    <w:rsid w:val="00915095"/>
    <w:rsid w:val="00923FD9"/>
    <w:rsid w:val="0093223A"/>
    <w:rsid w:val="00943A1A"/>
    <w:rsid w:val="00945AD9"/>
    <w:rsid w:val="00962735"/>
    <w:rsid w:val="009650C7"/>
    <w:rsid w:val="0096656A"/>
    <w:rsid w:val="00972424"/>
    <w:rsid w:val="00972971"/>
    <w:rsid w:val="00974A0E"/>
    <w:rsid w:val="00984C56"/>
    <w:rsid w:val="00985936"/>
    <w:rsid w:val="00986AA3"/>
    <w:rsid w:val="009901ED"/>
    <w:rsid w:val="0099147E"/>
    <w:rsid w:val="009964C0"/>
    <w:rsid w:val="009A0CB7"/>
    <w:rsid w:val="009C6D66"/>
    <w:rsid w:val="009E1AC3"/>
    <w:rsid w:val="009F4BFD"/>
    <w:rsid w:val="00A04CBD"/>
    <w:rsid w:val="00A10150"/>
    <w:rsid w:val="00A208CA"/>
    <w:rsid w:val="00A30D90"/>
    <w:rsid w:val="00A32910"/>
    <w:rsid w:val="00A418FF"/>
    <w:rsid w:val="00A46E78"/>
    <w:rsid w:val="00A53F3F"/>
    <w:rsid w:val="00A54B04"/>
    <w:rsid w:val="00A54F51"/>
    <w:rsid w:val="00A564BE"/>
    <w:rsid w:val="00A73113"/>
    <w:rsid w:val="00A83F55"/>
    <w:rsid w:val="00A84DA2"/>
    <w:rsid w:val="00A87AAB"/>
    <w:rsid w:val="00AA0991"/>
    <w:rsid w:val="00AB45A0"/>
    <w:rsid w:val="00AB6AD6"/>
    <w:rsid w:val="00AC02DC"/>
    <w:rsid w:val="00AC1C5F"/>
    <w:rsid w:val="00AC2654"/>
    <w:rsid w:val="00AC3331"/>
    <w:rsid w:val="00AD01D6"/>
    <w:rsid w:val="00AD15D5"/>
    <w:rsid w:val="00AE57CF"/>
    <w:rsid w:val="00AE72B9"/>
    <w:rsid w:val="00AF523F"/>
    <w:rsid w:val="00B07ECC"/>
    <w:rsid w:val="00B111F3"/>
    <w:rsid w:val="00B1155D"/>
    <w:rsid w:val="00B433F6"/>
    <w:rsid w:val="00B44BE8"/>
    <w:rsid w:val="00B45903"/>
    <w:rsid w:val="00B6262E"/>
    <w:rsid w:val="00B72138"/>
    <w:rsid w:val="00B84478"/>
    <w:rsid w:val="00B92E4E"/>
    <w:rsid w:val="00B975D6"/>
    <w:rsid w:val="00BA7050"/>
    <w:rsid w:val="00BC024C"/>
    <w:rsid w:val="00BC2339"/>
    <w:rsid w:val="00BC4B97"/>
    <w:rsid w:val="00BD00D3"/>
    <w:rsid w:val="00BD0471"/>
    <w:rsid w:val="00BD3807"/>
    <w:rsid w:val="00BD664F"/>
    <w:rsid w:val="00BF2BD3"/>
    <w:rsid w:val="00BF470A"/>
    <w:rsid w:val="00C07E14"/>
    <w:rsid w:val="00C105FB"/>
    <w:rsid w:val="00C1136B"/>
    <w:rsid w:val="00C11FB7"/>
    <w:rsid w:val="00C17395"/>
    <w:rsid w:val="00C177FE"/>
    <w:rsid w:val="00C26617"/>
    <w:rsid w:val="00C2698B"/>
    <w:rsid w:val="00C446EA"/>
    <w:rsid w:val="00C55D98"/>
    <w:rsid w:val="00C57441"/>
    <w:rsid w:val="00C66937"/>
    <w:rsid w:val="00C70998"/>
    <w:rsid w:val="00C74945"/>
    <w:rsid w:val="00C87FE6"/>
    <w:rsid w:val="00CA7F09"/>
    <w:rsid w:val="00CB057E"/>
    <w:rsid w:val="00CB5E29"/>
    <w:rsid w:val="00CC161D"/>
    <w:rsid w:val="00CE49BD"/>
    <w:rsid w:val="00CF38DC"/>
    <w:rsid w:val="00D049DA"/>
    <w:rsid w:val="00D1651C"/>
    <w:rsid w:val="00D23D07"/>
    <w:rsid w:val="00D258D6"/>
    <w:rsid w:val="00D26694"/>
    <w:rsid w:val="00D3269B"/>
    <w:rsid w:val="00D370DC"/>
    <w:rsid w:val="00D434FA"/>
    <w:rsid w:val="00D45841"/>
    <w:rsid w:val="00D51050"/>
    <w:rsid w:val="00D52364"/>
    <w:rsid w:val="00D57B7F"/>
    <w:rsid w:val="00D6087F"/>
    <w:rsid w:val="00D64A5A"/>
    <w:rsid w:val="00D66A4B"/>
    <w:rsid w:val="00D77485"/>
    <w:rsid w:val="00D92026"/>
    <w:rsid w:val="00DA6362"/>
    <w:rsid w:val="00DB17A4"/>
    <w:rsid w:val="00DC15B9"/>
    <w:rsid w:val="00DD08DE"/>
    <w:rsid w:val="00DD7958"/>
    <w:rsid w:val="00DF4767"/>
    <w:rsid w:val="00E06C06"/>
    <w:rsid w:val="00E12497"/>
    <w:rsid w:val="00E1379C"/>
    <w:rsid w:val="00E13D21"/>
    <w:rsid w:val="00E25ADB"/>
    <w:rsid w:val="00E272FF"/>
    <w:rsid w:val="00E33F6E"/>
    <w:rsid w:val="00E35C69"/>
    <w:rsid w:val="00E5228B"/>
    <w:rsid w:val="00E63882"/>
    <w:rsid w:val="00E73882"/>
    <w:rsid w:val="00E748E3"/>
    <w:rsid w:val="00E76B3B"/>
    <w:rsid w:val="00E81E69"/>
    <w:rsid w:val="00E84F7B"/>
    <w:rsid w:val="00E91BD6"/>
    <w:rsid w:val="00E93175"/>
    <w:rsid w:val="00E9600E"/>
    <w:rsid w:val="00E969F6"/>
    <w:rsid w:val="00EA115A"/>
    <w:rsid w:val="00EA30E0"/>
    <w:rsid w:val="00EA33F8"/>
    <w:rsid w:val="00EB7EA0"/>
    <w:rsid w:val="00EE1A27"/>
    <w:rsid w:val="00EF5055"/>
    <w:rsid w:val="00F0441A"/>
    <w:rsid w:val="00F0629F"/>
    <w:rsid w:val="00F07D65"/>
    <w:rsid w:val="00F165D4"/>
    <w:rsid w:val="00F26ADB"/>
    <w:rsid w:val="00F35E61"/>
    <w:rsid w:val="00F362D2"/>
    <w:rsid w:val="00F410CF"/>
    <w:rsid w:val="00F52AD7"/>
    <w:rsid w:val="00F54129"/>
    <w:rsid w:val="00F763E3"/>
    <w:rsid w:val="00F91511"/>
    <w:rsid w:val="00F94431"/>
    <w:rsid w:val="00FA2352"/>
    <w:rsid w:val="00FA74E0"/>
    <w:rsid w:val="00FB7F45"/>
    <w:rsid w:val="00FC32EC"/>
    <w:rsid w:val="00FD2AC2"/>
    <w:rsid w:val="00FE2116"/>
    <w:rsid w:val="00FE7BA0"/>
    <w:rsid w:val="00FE7DE0"/>
    <w:rsid w:val="00FF6542"/>
    <w:rsid w:val="00FF707E"/>
    <w:rsid w:val="028473E8"/>
    <w:rsid w:val="047418DD"/>
    <w:rsid w:val="05DE6480"/>
    <w:rsid w:val="088B31C5"/>
    <w:rsid w:val="0AC60F86"/>
    <w:rsid w:val="0B0408F5"/>
    <w:rsid w:val="0BE768CB"/>
    <w:rsid w:val="11C346AB"/>
    <w:rsid w:val="124A1EF5"/>
    <w:rsid w:val="1C7A7D9B"/>
    <w:rsid w:val="1CA035A2"/>
    <w:rsid w:val="1E30322A"/>
    <w:rsid w:val="1F4610D9"/>
    <w:rsid w:val="1F6C03CF"/>
    <w:rsid w:val="2AA563D8"/>
    <w:rsid w:val="2BA73815"/>
    <w:rsid w:val="2FD25A52"/>
    <w:rsid w:val="3172274B"/>
    <w:rsid w:val="344005B7"/>
    <w:rsid w:val="38C0555B"/>
    <w:rsid w:val="391E4F69"/>
    <w:rsid w:val="3D847D1B"/>
    <w:rsid w:val="3ECF520E"/>
    <w:rsid w:val="40C117AD"/>
    <w:rsid w:val="41821634"/>
    <w:rsid w:val="43AB20C9"/>
    <w:rsid w:val="444456A4"/>
    <w:rsid w:val="449A79CD"/>
    <w:rsid w:val="46FA109C"/>
    <w:rsid w:val="47BC7DF4"/>
    <w:rsid w:val="484C20FC"/>
    <w:rsid w:val="48DA1E6B"/>
    <w:rsid w:val="491553BD"/>
    <w:rsid w:val="497608BC"/>
    <w:rsid w:val="4A3F72EF"/>
    <w:rsid w:val="4AD26BDE"/>
    <w:rsid w:val="4AD8602D"/>
    <w:rsid w:val="4EE41171"/>
    <w:rsid w:val="550B33F0"/>
    <w:rsid w:val="55AA19BC"/>
    <w:rsid w:val="59F054CA"/>
    <w:rsid w:val="5CDD1E08"/>
    <w:rsid w:val="5F3E3487"/>
    <w:rsid w:val="60FD6189"/>
    <w:rsid w:val="6A1D0482"/>
    <w:rsid w:val="6DA938EC"/>
    <w:rsid w:val="6EDB29DF"/>
    <w:rsid w:val="72FE2150"/>
    <w:rsid w:val="7E856C9E"/>
    <w:rsid w:val="7FE930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15"/>
    <w:qFormat/>
    <w:uiPriority w:val="0"/>
    <w:pPr>
      <w:keepNext/>
      <w:keepLines/>
      <w:spacing w:before="280" w:after="290" w:line="376" w:lineRule="auto"/>
      <w:outlineLvl w:val="3"/>
    </w:pPr>
    <w:rPr>
      <w:rFonts w:ascii="Arial" w:hAnsi="Arial" w:eastAsia="黑体" w:cs="Times New Roman"/>
      <w:b/>
      <w:bCs/>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2"/>
    <w:semiHidden/>
    <w:unhideWhenUsed/>
    <w:qFormat/>
    <w:uiPriority w:val="99"/>
    <w:pPr>
      <w:jc w:val="left"/>
    </w:pPr>
  </w:style>
  <w:style w:type="paragraph" w:styleId="4">
    <w:name w:val="Date"/>
    <w:basedOn w:val="1"/>
    <w:next w:val="1"/>
    <w:link w:val="17"/>
    <w:semiHidden/>
    <w:unhideWhenUsed/>
    <w:qFormat/>
    <w:uiPriority w:val="99"/>
    <w:pPr>
      <w:ind w:left="100" w:leftChars="2500"/>
    </w:pPr>
  </w:style>
  <w:style w:type="paragraph" w:styleId="5">
    <w:name w:val="Balloon Text"/>
    <w:basedOn w:val="1"/>
    <w:link w:val="19"/>
    <w:semiHidden/>
    <w:unhideWhenUsed/>
    <w:qFormat/>
    <w:uiPriority w:val="99"/>
    <w:rPr>
      <w:sz w:val="18"/>
      <w:szCs w:val="18"/>
    </w:rPr>
  </w:style>
  <w:style w:type="paragraph" w:styleId="6">
    <w:name w:val="footer"/>
    <w:basedOn w:val="1"/>
    <w:link w:val="21"/>
    <w:unhideWhenUsed/>
    <w:qFormat/>
    <w:uiPriority w:val="99"/>
    <w:pPr>
      <w:tabs>
        <w:tab w:val="center" w:pos="4153"/>
        <w:tab w:val="right" w:pos="8306"/>
      </w:tabs>
      <w:snapToGrid w:val="0"/>
      <w:jc w:val="left"/>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9">
    <w:name w:val="Title"/>
    <w:basedOn w:val="1"/>
    <w:next w:val="1"/>
    <w:link w:val="18"/>
    <w:qFormat/>
    <w:uiPriority w:val="10"/>
    <w:pPr>
      <w:spacing w:before="240" w:after="60"/>
      <w:jc w:val="center"/>
      <w:outlineLvl w:val="0"/>
    </w:pPr>
    <w:rPr>
      <w:rFonts w:ascii="Cambria" w:hAnsi="Cambria" w:eastAsia="宋体" w:cs="Times New Roman"/>
      <w:b/>
      <w:bCs/>
      <w:sz w:val="32"/>
      <w:szCs w:val="32"/>
    </w:rPr>
  </w:style>
  <w:style w:type="paragraph" w:styleId="10">
    <w:name w:val="annotation subject"/>
    <w:basedOn w:val="3"/>
    <w:next w:val="3"/>
    <w:link w:val="23"/>
    <w:semiHidden/>
    <w:unhideWhenUsed/>
    <w:qFormat/>
    <w:uiPriority w:val="99"/>
    <w:rPr>
      <w:b/>
      <w:bCs/>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annotation reference"/>
    <w:basedOn w:val="13"/>
    <w:semiHidden/>
    <w:unhideWhenUsed/>
    <w:qFormat/>
    <w:uiPriority w:val="99"/>
    <w:rPr>
      <w:sz w:val="21"/>
      <w:szCs w:val="21"/>
    </w:rPr>
  </w:style>
  <w:style w:type="character" w:customStyle="1" w:styleId="15">
    <w:name w:val="标题 4 Char"/>
    <w:basedOn w:val="13"/>
    <w:link w:val="2"/>
    <w:qFormat/>
    <w:uiPriority w:val="0"/>
    <w:rPr>
      <w:rFonts w:ascii="Arial" w:hAnsi="Arial" w:eastAsia="黑体" w:cs="Times New Roman"/>
      <w:b/>
      <w:bCs/>
      <w:sz w:val="28"/>
      <w:szCs w:val="28"/>
    </w:rPr>
  </w:style>
  <w:style w:type="paragraph" w:styleId="16">
    <w:name w:val="List Paragraph"/>
    <w:basedOn w:val="1"/>
    <w:qFormat/>
    <w:uiPriority w:val="34"/>
    <w:pPr>
      <w:ind w:firstLine="420" w:firstLineChars="200"/>
    </w:pPr>
  </w:style>
  <w:style w:type="character" w:customStyle="1" w:styleId="17">
    <w:name w:val="日期 Char"/>
    <w:basedOn w:val="13"/>
    <w:link w:val="4"/>
    <w:semiHidden/>
    <w:qFormat/>
    <w:uiPriority w:val="99"/>
  </w:style>
  <w:style w:type="character" w:customStyle="1" w:styleId="18">
    <w:name w:val="标题 Char"/>
    <w:basedOn w:val="13"/>
    <w:link w:val="9"/>
    <w:qFormat/>
    <w:uiPriority w:val="10"/>
    <w:rPr>
      <w:rFonts w:ascii="Cambria" w:hAnsi="Cambria" w:eastAsia="宋体" w:cs="Times New Roman"/>
      <w:b/>
      <w:bCs/>
      <w:sz w:val="32"/>
      <w:szCs w:val="32"/>
    </w:rPr>
  </w:style>
  <w:style w:type="character" w:customStyle="1" w:styleId="19">
    <w:name w:val="批注框文本 Char"/>
    <w:basedOn w:val="13"/>
    <w:link w:val="5"/>
    <w:semiHidden/>
    <w:qFormat/>
    <w:uiPriority w:val="99"/>
    <w:rPr>
      <w:sz w:val="18"/>
      <w:szCs w:val="18"/>
    </w:rPr>
  </w:style>
  <w:style w:type="character" w:customStyle="1" w:styleId="20">
    <w:name w:val="页眉 Char"/>
    <w:basedOn w:val="13"/>
    <w:link w:val="7"/>
    <w:qFormat/>
    <w:uiPriority w:val="99"/>
    <w:rPr>
      <w:sz w:val="18"/>
      <w:szCs w:val="18"/>
    </w:rPr>
  </w:style>
  <w:style w:type="character" w:customStyle="1" w:styleId="21">
    <w:name w:val="页脚 Char"/>
    <w:basedOn w:val="13"/>
    <w:link w:val="6"/>
    <w:qFormat/>
    <w:uiPriority w:val="99"/>
    <w:rPr>
      <w:sz w:val="18"/>
      <w:szCs w:val="18"/>
    </w:rPr>
  </w:style>
  <w:style w:type="character" w:customStyle="1" w:styleId="22">
    <w:name w:val="批注文字 Char"/>
    <w:basedOn w:val="13"/>
    <w:link w:val="3"/>
    <w:semiHidden/>
    <w:qFormat/>
    <w:uiPriority w:val="99"/>
  </w:style>
  <w:style w:type="character" w:customStyle="1" w:styleId="23">
    <w:name w:val="批注主题 Char"/>
    <w:basedOn w:val="22"/>
    <w:link w:val="10"/>
    <w:semiHidden/>
    <w:qFormat/>
    <w:uiPriority w:val="99"/>
    <w:rPr>
      <w:b/>
      <w:bCs/>
    </w:rPr>
  </w:style>
  <w:style w:type="paragraph" w:customStyle="1" w:styleId="24">
    <w:name w:val="Default"/>
    <w:unhideWhenUsed/>
    <w:qFormat/>
    <w:uiPriority w:val="0"/>
    <w:pPr>
      <w:widowControl w:val="0"/>
      <w:autoSpaceDE w:val="0"/>
      <w:autoSpaceDN w:val="0"/>
      <w:adjustRightInd w:val="0"/>
    </w:pPr>
    <w:rPr>
      <w:rFonts w:hint="eastAsia" w:ascii="仿宋_GB2312" w:hAnsi="仿宋_GB2312" w:eastAsia="仿宋_GB2312" w:cs="Times New Roman"/>
      <w:color w:val="000000"/>
      <w:kern w:val="0"/>
      <w:sz w:val="24"/>
      <w:szCs w:val="20"/>
      <w:lang w:val="en-US" w:eastAsia="zh-CN" w:bidi="ar-SA"/>
    </w:rPr>
  </w:style>
  <w:style w:type="character" w:customStyle="1" w:styleId="25">
    <w:name w:val="页脚 字符"/>
    <w:basedOn w:val="13"/>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048541-D253-4B2B-8F30-A048E09D1179}">
  <ds:schemaRefs/>
</ds:datastoreItem>
</file>

<file path=docProps/app.xml><?xml version="1.0" encoding="utf-8"?>
<Properties xmlns="http://schemas.openxmlformats.org/officeDocument/2006/extended-properties" xmlns:vt="http://schemas.openxmlformats.org/officeDocument/2006/docPropsVTypes">
  <Template>Normal.dotm</Template>
  <Pages>8</Pages>
  <Words>4612</Words>
  <Characters>4722</Characters>
  <Lines>48</Lines>
  <Paragraphs>13</Paragraphs>
  <TotalTime>12</TotalTime>
  <ScaleCrop>false</ScaleCrop>
  <LinksUpToDate>false</LinksUpToDate>
  <CharactersWithSpaces>6251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2018-10-12T07:11:00Z</dcterms:created>
  <dc:creator>512</dc:creator>
  <cp:lastModifiedBy>Anhong</cp:lastModifiedBy>
  <cp:lastPrinted>2018-11-09T08:10:00Z</cp:lastPrinted>
  <dcterms:modified xsi:type="dcterms:W3CDTF">2019-11-27T03:05:38Z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